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F86F4" w14:textId="77777777" w:rsidR="00374458" w:rsidRDefault="00B94199" w:rsidP="00374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44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Аналіз надання медичної допомоги </w:t>
      </w:r>
    </w:p>
    <w:p w14:paraId="693922D1" w14:textId="77777777" w:rsidR="00374458" w:rsidRDefault="00B94199" w:rsidP="00374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44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комунальним </w:t>
      </w:r>
      <w:r w:rsidR="003744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некомерційним </w:t>
      </w:r>
      <w:r w:rsidR="003801E8">
        <w:rPr>
          <w:rFonts w:ascii="Times New Roman" w:hAnsi="Times New Roman" w:cs="Times New Roman"/>
          <w:b/>
          <w:sz w:val="28"/>
          <w:szCs w:val="28"/>
          <w:lang w:val="uk-UA"/>
        </w:rPr>
        <w:t>підприємством</w:t>
      </w:r>
    </w:p>
    <w:p w14:paraId="4FF9A682" w14:textId="0112CE03" w:rsidR="00906061" w:rsidRDefault="00B94199" w:rsidP="003801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44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«Центр первинної медико-санітарної допомоги №1 </w:t>
      </w:r>
      <w:proofErr w:type="spellStart"/>
      <w:r w:rsidRPr="00374458">
        <w:rPr>
          <w:rFonts w:ascii="Times New Roman" w:hAnsi="Times New Roman" w:cs="Times New Roman"/>
          <w:b/>
          <w:sz w:val="28"/>
          <w:szCs w:val="28"/>
          <w:lang w:val="uk-UA"/>
        </w:rPr>
        <w:t>м.Кропивницького</w:t>
      </w:r>
      <w:proofErr w:type="spellEnd"/>
      <w:r w:rsidRPr="003744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Кропивницької міської ради впродовж </w:t>
      </w:r>
      <w:r w:rsidR="003233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кварталу </w:t>
      </w:r>
      <w:r w:rsidRPr="00374458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A47254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3233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74458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</w:p>
    <w:p w14:paraId="3775A95C" w14:textId="77777777" w:rsidR="00374458" w:rsidRPr="00D71876" w:rsidRDefault="00374458" w:rsidP="0037445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7EF09FC" w14:textId="77777777" w:rsidR="003B2101" w:rsidRPr="00F4189E" w:rsidRDefault="00E576D7" w:rsidP="00E46FF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Комунальне некомерційне підприємство</w:t>
      </w:r>
      <w:r w:rsidR="008344F1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Центр первинної медико-санітарної допомоги</w:t>
      </w:r>
      <w:r w:rsidR="008344F1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№1 </w:t>
      </w:r>
      <w:proofErr w:type="spellStart"/>
      <w:r w:rsidR="008344F1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м.Кропивницького</w:t>
      </w:r>
      <w:proofErr w:type="spellEnd"/>
      <w:r w:rsidR="008344F1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» є закладом охорони здоров’я, що надає первинну медичну допомогу населенню міста Кропивницький.</w:t>
      </w:r>
      <w:r w:rsidR="003801E8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7253AE" w:rsidRPr="00F4189E">
        <w:rPr>
          <w:rFonts w:ascii="Times New Roman" w:hAnsi="Times New Roman" w:cs="Times New Roman"/>
          <w:sz w:val="24"/>
          <w:szCs w:val="24"/>
          <w:lang w:val="uk-UA"/>
        </w:rPr>
        <w:t>Первинна медико-санітарна допомога надавалась в 10 амбулаторіях загаль</w:t>
      </w:r>
      <w:r w:rsidR="003B2101" w:rsidRPr="00F4189E">
        <w:rPr>
          <w:rFonts w:ascii="Times New Roman" w:hAnsi="Times New Roman" w:cs="Times New Roman"/>
          <w:sz w:val="24"/>
          <w:szCs w:val="24"/>
          <w:lang w:val="uk-UA"/>
        </w:rPr>
        <w:t>ної практики-сімейної медицини.</w:t>
      </w:r>
      <w:r w:rsidR="007253AE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85EE109" w14:textId="4CCC0AD8" w:rsidR="008344F1" w:rsidRPr="00F4189E" w:rsidRDefault="008344F1" w:rsidP="00E46F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Впродовж </w:t>
      </w:r>
      <w:r w:rsidR="00FD2099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І кварталу 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A47254" w:rsidRPr="00F4189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року заклад працював на підставі Договорів з Національною службою здоров’я України і відповідно до умов цих Договорів надавало впродовж звітного періоду медичні послуги за програмою медичних гарантій, передбачені Порядком надання первинної медичної допомоги, затвердженим наказом МОЗ України від 19 березня 2018 року №504 та іншими нормативними договорами.</w:t>
      </w:r>
    </w:p>
    <w:p w14:paraId="1AEC03F8" w14:textId="77777777" w:rsidR="003801E8" w:rsidRPr="00F4189E" w:rsidRDefault="003801E8" w:rsidP="00E46F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B60F192" w14:textId="146671A7" w:rsidR="008344F1" w:rsidRPr="00F4189E" w:rsidRDefault="00817BD3" w:rsidP="00E46F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4189E">
        <w:rPr>
          <w:rFonts w:ascii="Times New Roman" w:hAnsi="Times New Roman" w:cs="Times New Roman"/>
          <w:b/>
          <w:sz w:val="24"/>
          <w:szCs w:val="24"/>
          <w:lang w:val="uk-UA"/>
        </w:rPr>
        <w:t>На</w:t>
      </w:r>
      <w:r w:rsidR="008344F1" w:rsidRPr="00F4189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D2099" w:rsidRPr="00F4189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 квартал </w:t>
      </w:r>
      <w:r w:rsidR="008344F1" w:rsidRPr="00F4189E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A47254" w:rsidRPr="00F4189E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8344F1" w:rsidRPr="00F4189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</w:t>
      </w:r>
      <w:r w:rsidR="00FD2099" w:rsidRPr="00F4189E">
        <w:rPr>
          <w:rFonts w:ascii="Times New Roman" w:hAnsi="Times New Roman" w:cs="Times New Roman"/>
          <w:b/>
          <w:sz w:val="24"/>
          <w:szCs w:val="24"/>
          <w:lang w:val="uk-UA"/>
        </w:rPr>
        <w:t>оку</w:t>
      </w:r>
      <w:r w:rsidR="008344F1" w:rsidRPr="00F4189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НСЗУ укладено Договори за наступними пакетами:</w:t>
      </w:r>
    </w:p>
    <w:p w14:paraId="01205BE3" w14:textId="0D20E16E" w:rsidR="008344F1" w:rsidRPr="00F4189E" w:rsidRDefault="008344F1" w:rsidP="00E46F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189E">
        <w:rPr>
          <w:rFonts w:ascii="Times New Roman" w:hAnsi="Times New Roman" w:cs="Times New Roman"/>
          <w:sz w:val="24"/>
          <w:szCs w:val="24"/>
          <w:lang w:val="uk-UA"/>
        </w:rPr>
        <w:t>Пакет №1 - «Первинна медична допомога»</w:t>
      </w:r>
      <w:r w:rsidR="000A7A8D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(у </w:t>
      </w:r>
      <w:proofErr w:type="spellStart"/>
      <w:r w:rsidR="000A7A8D" w:rsidRPr="00F4189E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="000A7A8D" w:rsidRPr="00F4189E">
        <w:rPr>
          <w:rFonts w:ascii="Times New Roman" w:hAnsi="Times New Roman" w:cs="Times New Roman"/>
          <w:sz w:val="24"/>
          <w:szCs w:val="24"/>
          <w:lang w:val="uk-UA"/>
        </w:rPr>
        <w:t>. «Супровід та лікування дорослих та дітей хворих на туберкульоз на первинному рівні медичної допомоги»)</w:t>
      </w:r>
    </w:p>
    <w:p w14:paraId="5171D207" w14:textId="77777777" w:rsidR="008344F1" w:rsidRPr="00F4189E" w:rsidRDefault="008344F1" w:rsidP="00E46F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189E">
        <w:rPr>
          <w:rFonts w:ascii="Times New Roman" w:hAnsi="Times New Roman" w:cs="Times New Roman"/>
          <w:sz w:val="24"/>
          <w:szCs w:val="24"/>
          <w:lang w:val="uk-UA"/>
        </w:rPr>
        <w:t>Пакет №50 -  «Забезпеченість кадрового потенціалу системи охорони здоров’я шляхом організації надання медичної допомоги із залученням лікарів-інтернів»</w:t>
      </w:r>
    </w:p>
    <w:p w14:paraId="16934A16" w14:textId="77777777" w:rsidR="008344F1" w:rsidRPr="00F4189E" w:rsidRDefault="008344F1" w:rsidP="00E46F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189E">
        <w:rPr>
          <w:rFonts w:ascii="Times New Roman" w:hAnsi="Times New Roman" w:cs="Times New Roman"/>
          <w:sz w:val="24"/>
          <w:szCs w:val="24"/>
          <w:lang w:val="uk-UA"/>
        </w:rPr>
        <w:t>Пакет №</w:t>
      </w:r>
      <w:r w:rsidR="001D1273" w:rsidRPr="00F4189E">
        <w:rPr>
          <w:rFonts w:ascii="Times New Roman" w:hAnsi="Times New Roman" w:cs="Times New Roman"/>
          <w:sz w:val="24"/>
          <w:szCs w:val="24"/>
          <w:lang w:val="uk-UA"/>
        </w:rPr>
        <w:t>73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– «</w:t>
      </w:r>
      <w:r w:rsidR="001D1273" w:rsidRPr="00F4189E">
        <w:rPr>
          <w:rFonts w:ascii="Times New Roman" w:hAnsi="Times New Roman" w:cs="Times New Roman"/>
          <w:sz w:val="24"/>
          <w:szCs w:val="24"/>
          <w:lang w:val="uk-UA"/>
        </w:rPr>
        <w:t>Про медичне обслуговування щодо надання розширених послуг з первинної медичної допомоги окремим категоріям осіб, які захищали незалежність, суверенітет та територіальну цілісність України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2B8DF061" w14:textId="1DAA21C1" w:rsidR="003B2101" w:rsidRPr="00F4189E" w:rsidRDefault="003B2101" w:rsidP="00E46F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4189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Згідно штатного розпису підприємства штатна чисельність працівників на </w:t>
      </w:r>
      <w:r w:rsidR="00FF7386" w:rsidRPr="00F4189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01</w:t>
      </w:r>
      <w:r w:rsidR="00644A8C" w:rsidRPr="00F4189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="00FF7386" w:rsidRPr="00F4189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квітня </w:t>
      </w:r>
      <w:r w:rsidRPr="00F4189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202</w:t>
      </w:r>
      <w:r w:rsidR="005B0B65" w:rsidRPr="00F4189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</w:t>
      </w:r>
      <w:r w:rsidRPr="00F4189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року складала </w:t>
      </w:r>
      <w:r w:rsidR="005B0B65" w:rsidRPr="00F4189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246,0 проти </w:t>
      </w:r>
      <w:r w:rsidR="00FF7386" w:rsidRPr="00F4189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256,0</w:t>
      </w:r>
      <w:r w:rsidRPr="00F4189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штатних одиниць</w:t>
      </w:r>
      <w:r w:rsidR="005B0B65" w:rsidRPr="00F4189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в аналогічному періоді минулого року</w:t>
      </w:r>
      <w:r w:rsidRPr="00F4189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, з них:</w:t>
      </w:r>
    </w:p>
    <w:p w14:paraId="7F4B9087" w14:textId="704F8332" w:rsidR="003B2101" w:rsidRPr="00F4189E" w:rsidRDefault="00644A8C" w:rsidP="00E46FF4">
      <w:pPr>
        <w:pStyle w:val="ad"/>
        <w:numPr>
          <w:ilvl w:val="0"/>
          <w:numId w:val="3"/>
        </w:numPr>
        <w:tabs>
          <w:tab w:val="clear" w:pos="1211"/>
          <w:tab w:val="num" w:pos="709"/>
        </w:tabs>
        <w:suppressAutoHyphens/>
        <w:spacing w:before="0" w:beforeAutospacing="0" w:after="0" w:afterAutospacing="0"/>
        <w:ind w:hanging="644"/>
        <w:jc w:val="both"/>
        <w:rPr>
          <w:bCs/>
          <w:lang w:val="uk-UA"/>
        </w:rPr>
      </w:pPr>
      <w:r w:rsidRPr="00F4189E">
        <w:rPr>
          <w:bCs/>
          <w:lang w:val="uk-UA"/>
        </w:rPr>
        <w:t>лікарі –</w:t>
      </w:r>
      <w:r w:rsidR="004C72FD" w:rsidRPr="00F4189E">
        <w:rPr>
          <w:bCs/>
          <w:lang w:val="uk-UA"/>
        </w:rPr>
        <w:t xml:space="preserve"> 72,5 штатних одиниць</w:t>
      </w:r>
      <w:r w:rsidRPr="00F4189E">
        <w:rPr>
          <w:bCs/>
          <w:lang w:val="uk-UA"/>
        </w:rPr>
        <w:t xml:space="preserve"> </w:t>
      </w:r>
      <w:r w:rsidR="004C72FD" w:rsidRPr="00F4189E">
        <w:rPr>
          <w:bCs/>
          <w:lang w:val="uk-UA"/>
        </w:rPr>
        <w:t xml:space="preserve">(І квартал 2025 року - </w:t>
      </w:r>
      <w:r w:rsidR="00FF7386" w:rsidRPr="00F4189E">
        <w:rPr>
          <w:bCs/>
          <w:lang w:val="uk-UA"/>
        </w:rPr>
        <w:t>78,5</w:t>
      </w:r>
      <w:r w:rsidR="003B2101" w:rsidRPr="00F4189E">
        <w:rPr>
          <w:bCs/>
          <w:lang w:val="uk-UA"/>
        </w:rPr>
        <w:t xml:space="preserve"> штатних одиниць</w:t>
      </w:r>
      <w:r w:rsidR="004C72FD" w:rsidRPr="00F4189E">
        <w:rPr>
          <w:bCs/>
          <w:lang w:val="uk-UA"/>
        </w:rPr>
        <w:t>)</w:t>
      </w:r>
      <w:r w:rsidR="003B2101" w:rsidRPr="00F4189E">
        <w:rPr>
          <w:bCs/>
          <w:lang w:val="uk-UA"/>
        </w:rPr>
        <w:t>;</w:t>
      </w:r>
    </w:p>
    <w:p w14:paraId="10F47C56" w14:textId="3D24DD3F" w:rsidR="003B2101" w:rsidRPr="00F4189E" w:rsidRDefault="003B2101" w:rsidP="00E46FF4">
      <w:pPr>
        <w:pStyle w:val="ad"/>
        <w:numPr>
          <w:ilvl w:val="0"/>
          <w:numId w:val="3"/>
        </w:numPr>
        <w:tabs>
          <w:tab w:val="clear" w:pos="1211"/>
          <w:tab w:val="num" w:pos="709"/>
        </w:tabs>
        <w:suppressAutoHyphens/>
        <w:spacing w:before="0" w:beforeAutospacing="0" w:after="0" w:afterAutospacing="0"/>
        <w:ind w:hanging="644"/>
        <w:jc w:val="both"/>
        <w:rPr>
          <w:bCs/>
          <w:lang w:val="uk-UA"/>
        </w:rPr>
      </w:pPr>
      <w:r w:rsidRPr="00F4189E">
        <w:rPr>
          <w:bCs/>
          <w:lang w:val="uk-UA"/>
        </w:rPr>
        <w:t xml:space="preserve">середній медперсонал – </w:t>
      </w:r>
      <w:r w:rsidR="005B0B65" w:rsidRPr="00F4189E">
        <w:rPr>
          <w:bCs/>
          <w:lang w:val="uk-UA"/>
        </w:rPr>
        <w:t xml:space="preserve">110,0 штатних одиниць (І квартал 2025 року - </w:t>
      </w:r>
      <w:r w:rsidR="00FF7386" w:rsidRPr="00F4189E">
        <w:rPr>
          <w:bCs/>
          <w:lang w:val="uk-UA"/>
        </w:rPr>
        <w:t>113,0</w:t>
      </w:r>
      <w:r w:rsidR="005B0B65" w:rsidRPr="00F4189E">
        <w:rPr>
          <w:bCs/>
          <w:lang w:val="uk-UA"/>
        </w:rPr>
        <w:t>)</w:t>
      </w:r>
      <w:r w:rsidRPr="00F4189E">
        <w:rPr>
          <w:bCs/>
          <w:lang w:val="uk-UA"/>
        </w:rPr>
        <w:t>;</w:t>
      </w:r>
    </w:p>
    <w:p w14:paraId="0E52BB4C" w14:textId="11068D9A" w:rsidR="003B2101" w:rsidRPr="00F4189E" w:rsidRDefault="003B2101" w:rsidP="00E46FF4">
      <w:pPr>
        <w:pStyle w:val="ad"/>
        <w:numPr>
          <w:ilvl w:val="0"/>
          <w:numId w:val="3"/>
        </w:numPr>
        <w:tabs>
          <w:tab w:val="clear" w:pos="1211"/>
          <w:tab w:val="num" w:pos="709"/>
        </w:tabs>
        <w:suppressAutoHyphens/>
        <w:spacing w:before="0" w:beforeAutospacing="0" w:after="0" w:afterAutospacing="0"/>
        <w:ind w:hanging="644"/>
        <w:jc w:val="both"/>
        <w:rPr>
          <w:bCs/>
          <w:lang w:val="uk-UA"/>
        </w:rPr>
      </w:pPr>
      <w:r w:rsidRPr="00F4189E">
        <w:rPr>
          <w:bCs/>
          <w:lang w:val="uk-UA"/>
        </w:rPr>
        <w:t xml:space="preserve">молодший медперсонал – </w:t>
      </w:r>
      <w:r w:rsidR="005B0B65" w:rsidRPr="00F4189E">
        <w:rPr>
          <w:bCs/>
          <w:lang w:val="uk-UA"/>
        </w:rPr>
        <w:t xml:space="preserve">17,0 штатних одиниць (І квартал 2025 року - </w:t>
      </w:r>
      <w:r w:rsidR="003520B5" w:rsidRPr="00F4189E">
        <w:rPr>
          <w:bCs/>
          <w:lang w:val="uk-UA"/>
        </w:rPr>
        <w:t>1</w:t>
      </w:r>
      <w:r w:rsidR="00FF7386" w:rsidRPr="00F4189E">
        <w:rPr>
          <w:bCs/>
          <w:lang w:val="uk-UA"/>
        </w:rPr>
        <w:t>8</w:t>
      </w:r>
      <w:r w:rsidRPr="00F4189E">
        <w:rPr>
          <w:bCs/>
          <w:lang w:val="uk-UA"/>
        </w:rPr>
        <w:t>,0</w:t>
      </w:r>
      <w:r w:rsidR="005B0B65" w:rsidRPr="00F4189E">
        <w:rPr>
          <w:bCs/>
          <w:lang w:val="uk-UA"/>
        </w:rPr>
        <w:t>)</w:t>
      </w:r>
      <w:r w:rsidRPr="00F4189E">
        <w:rPr>
          <w:bCs/>
          <w:lang w:val="uk-UA"/>
        </w:rPr>
        <w:t>;</w:t>
      </w:r>
    </w:p>
    <w:p w14:paraId="16E81419" w14:textId="28E15726" w:rsidR="003B2101" w:rsidRPr="00F4189E" w:rsidRDefault="003B2101" w:rsidP="00E46FF4">
      <w:pPr>
        <w:pStyle w:val="ad"/>
        <w:numPr>
          <w:ilvl w:val="0"/>
          <w:numId w:val="3"/>
        </w:numPr>
        <w:tabs>
          <w:tab w:val="clear" w:pos="1211"/>
          <w:tab w:val="num" w:pos="709"/>
        </w:tabs>
        <w:suppressAutoHyphens/>
        <w:spacing w:before="0" w:beforeAutospacing="0" w:after="0" w:afterAutospacing="0"/>
        <w:ind w:hanging="644"/>
        <w:jc w:val="both"/>
        <w:rPr>
          <w:bCs/>
          <w:lang w:val="uk-UA"/>
        </w:rPr>
      </w:pPr>
      <w:r w:rsidRPr="00F4189E">
        <w:rPr>
          <w:bCs/>
          <w:lang w:val="uk-UA"/>
        </w:rPr>
        <w:t>інший персонал –</w:t>
      </w:r>
      <w:r w:rsidR="00644A8C" w:rsidRPr="00F4189E">
        <w:rPr>
          <w:bCs/>
          <w:lang w:val="uk-UA"/>
        </w:rPr>
        <w:t xml:space="preserve"> </w:t>
      </w:r>
      <w:r w:rsidR="005B0B65" w:rsidRPr="00F4189E">
        <w:rPr>
          <w:bCs/>
          <w:lang w:val="uk-UA"/>
        </w:rPr>
        <w:t xml:space="preserve">32,0 штатних одиниць (І квартал 2025 року - </w:t>
      </w:r>
      <w:r w:rsidR="00FF7386" w:rsidRPr="00F4189E">
        <w:rPr>
          <w:bCs/>
          <w:lang w:val="uk-UA"/>
        </w:rPr>
        <w:t>32,0</w:t>
      </w:r>
      <w:r w:rsidR="005B0B65" w:rsidRPr="00F4189E">
        <w:rPr>
          <w:bCs/>
          <w:lang w:val="uk-UA"/>
        </w:rPr>
        <w:t>)</w:t>
      </w:r>
    </w:p>
    <w:p w14:paraId="6057D37A" w14:textId="49A6E530" w:rsidR="00CC6DDD" w:rsidRPr="00F4189E" w:rsidRDefault="00CC6DDD" w:rsidP="00E46FF4">
      <w:pPr>
        <w:pStyle w:val="ad"/>
        <w:suppressAutoHyphens/>
        <w:spacing w:before="0" w:beforeAutospacing="0" w:after="0" w:afterAutospacing="0"/>
        <w:ind w:firstLine="567"/>
        <w:jc w:val="both"/>
        <w:rPr>
          <w:bCs/>
          <w:lang w:val="uk-UA"/>
        </w:rPr>
      </w:pPr>
      <w:r w:rsidRPr="00F4189E">
        <w:rPr>
          <w:bCs/>
          <w:lang w:val="uk-UA"/>
        </w:rPr>
        <w:t xml:space="preserve">Станом на </w:t>
      </w:r>
      <w:r w:rsidR="00FF7386" w:rsidRPr="00F4189E">
        <w:rPr>
          <w:bCs/>
          <w:lang w:val="uk-UA"/>
        </w:rPr>
        <w:t>01</w:t>
      </w:r>
      <w:r w:rsidRPr="00F4189E">
        <w:rPr>
          <w:bCs/>
          <w:lang w:val="uk-UA"/>
        </w:rPr>
        <w:t xml:space="preserve"> </w:t>
      </w:r>
      <w:r w:rsidR="00FF7386" w:rsidRPr="00F4189E">
        <w:rPr>
          <w:bCs/>
          <w:lang w:val="uk-UA"/>
        </w:rPr>
        <w:t>квітня</w:t>
      </w:r>
      <w:r w:rsidRPr="00F4189E">
        <w:rPr>
          <w:bCs/>
          <w:lang w:val="uk-UA"/>
        </w:rPr>
        <w:t xml:space="preserve"> 202</w:t>
      </w:r>
      <w:r w:rsidR="00FF7386" w:rsidRPr="00F4189E">
        <w:rPr>
          <w:bCs/>
          <w:lang w:val="uk-UA"/>
        </w:rPr>
        <w:t>5</w:t>
      </w:r>
      <w:r w:rsidRPr="00F4189E">
        <w:rPr>
          <w:bCs/>
          <w:lang w:val="uk-UA"/>
        </w:rPr>
        <w:t xml:space="preserve"> року в закладі працює </w:t>
      </w:r>
      <w:r w:rsidR="005B0B65" w:rsidRPr="00F4189E">
        <w:rPr>
          <w:bCs/>
          <w:lang w:val="uk-UA"/>
        </w:rPr>
        <w:t>38</w:t>
      </w:r>
      <w:r w:rsidRPr="00F4189E">
        <w:rPr>
          <w:bCs/>
          <w:lang w:val="uk-UA"/>
        </w:rPr>
        <w:t xml:space="preserve"> лікар</w:t>
      </w:r>
      <w:r w:rsidR="005D15C5" w:rsidRPr="00F4189E">
        <w:rPr>
          <w:bCs/>
          <w:lang w:val="uk-UA"/>
        </w:rPr>
        <w:t>ів</w:t>
      </w:r>
      <w:r w:rsidRPr="00F4189E">
        <w:rPr>
          <w:bCs/>
          <w:lang w:val="uk-UA"/>
        </w:rPr>
        <w:t xml:space="preserve"> загальної практики-сімейної медицини</w:t>
      </w:r>
      <w:r w:rsidR="008C5C50" w:rsidRPr="00F4189E">
        <w:rPr>
          <w:bCs/>
          <w:lang w:val="uk-UA"/>
        </w:rPr>
        <w:t xml:space="preserve"> (2 лікаря займають по 0,25 ст., 1 лікар мобілізований)</w:t>
      </w:r>
      <w:r w:rsidRPr="00F4189E">
        <w:rPr>
          <w:bCs/>
          <w:lang w:val="uk-UA"/>
        </w:rPr>
        <w:t xml:space="preserve">, </w:t>
      </w:r>
      <w:r w:rsidR="005D15C5" w:rsidRPr="00F4189E">
        <w:rPr>
          <w:bCs/>
          <w:lang w:val="uk-UA"/>
        </w:rPr>
        <w:t>1</w:t>
      </w:r>
      <w:r w:rsidR="005B0B65" w:rsidRPr="00F4189E">
        <w:rPr>
          <w:bCs/>
          <w:lang w:val="uk-UA"/>
        </w:rPr>
        <w:t>8</w:t>
      </w:r>
      <w:r w:rsidRPr="00F4189E">
        <w:rPr>
          <w:bCs/>
          <w:lang w:val="uk-UA"/>
        </w:rPr>
        <w:t xml:space="preserve"> лікар</w:t>
      </w:r>
      <w:r w:rsidR="005D15C5" w:rsidRPr="00F4189E">
        <w:rPr>
          <w:bCs/>
          <w:lang w:val="uk-UA"/>
        </w:rPr>
        <w:t>ів</w:t>
      </w:r>
      <w:r w:rsidR="003520B5" w:rsidRPr="00F4189E">
        <w:rPr>
          <w:bCs/>
          <w:lang w:val="uk-UA"/>
        </w:rPr>
        <w:t>-педіатр</w:t>
      </w:r>
      <w:r w:rsidR="005D15C5" w:rsidRPr="00F4189E">
        <w:rPr>
          <w:bCs/>
          <w:lang w:val="uk-UA"/>
        </w:rPr>
        <w:t>ів</w:t>
      </w:r>
      <w:r w:rsidR="008C5C50" w:rsidRPr="00F4189E">
        <w:rPr>
          <w:bCs/>
          <w:lang w:val="uk-UA"/>
        </w:rPr>
        <w:t xml:space="preserve"> (1 лікар мобілізований)</w:t>
      </w:r>
      <w:r w:rsidRPr="00F4189E">
        <w:rPr>
          <w:bCs/>
          <w:lang w:val="uk-UA"/>
        </w:rPr>
        <w:t xml:space="preserve">, </w:t>
      </w:r>
      <w:r w:rsidR="005D15C5" w:rsidRPr="00F4189E">
        <w:rPr>
          <w:bCs/>
          <w:lang w:val="uk-UA"/>
        </w:rPr>
        <w:t>5</w:t>
      </w:r>
      <w:r w:rsidRPr="00F4189E">
        <w:rPr>
          <w:bCs/>
          <w:lang w:val="uk-UA"/>
        </w:rPr>
        <w:t xml:space="preserve"> лікарів-терапевтів, </w:t>
      </w:r>
      <w:r w:rsidR="003520B5" w:rsidRPr="00F4189E">
        <w:rPr>
          <w:bCs/>
          <w:lang w:val="uk-UA"/>
        </w:rPr>
        <w:t>проход</w:t>
      </w:r>
      <w:r w:rsidR="005C5E59" w:rsidRPr="00F4189E">
        <w:rPr>
          <w:bCs/>
          <w:lang w:val="uk-UA"/>
        </w:rPr>
        <w:t>и</w:t>
      </w:r>
      <w:r w:rsidR="003520B5" w:rsidRPr="00F4189E">
        <w:rPr>
          <w:bCs/>
          <w:lang w:val="uk-UA"/>
        </w:rPr>
        <w:t xml:space="preserve">ть інтернатуру </w:t>
      </w:r>
      <w:r w:rsidR="005C5E59" w:rsidRPr="00F4189E">
        <w:rPr>
          <w:bCs/>
          <w:lang w:val="uk-UA"/>
        </w:rPr>
        <w:t>1</w:t>
      </w:r>
      <w:r w:rsidR="00D635A9" w:rsidRPr="00F4189E">
        <w:rPr>
          <w:bCs/>
          <w:lang w:val="uk-UA"/>
        </w:rPr>
        <w:t xml:space="preserve"> </w:t>
      </w:r>
      <w:r w:rsidRPr="00F4189E">
        <w:rPr>
          <w:bCs/>
          <w:lang w:val="uk-UA"/>
        </w:rPr>
        <w:t>лікар</w:t>
      </w:r>
      <w:r w:rsidR="003801E8" w:rsidRPr="00F4189E">
        <w:rPr>
          <w:bCs/>
          <w:lang w:val="uk-UA"/>
        </w:rPr>
        <w:t>-інтерн</w:t>
      </w:r>
      <w:r w:rsidRPr="00F4189E">
        <w:rPr>
          <w:bCs/>
          <w:lang w:val="uk-UA"/>
        </w:rPr>
        <w:t>.</w:t>
      </w:r>
    </w:p>
    <w:p w14:paraId="2458EBB4" w14:textId="13792AE0" w:rsidR="004C250D" w:rsidRPr="00F4189E" w:rsidRDefault="004C250D" w:rsidP="00E46F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Укомплектованість фізичними особами лікарських посад складає </w:t>
      </w:r>
      <w:r w:rsidR="004C72FD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89,7% </w:t>
      </w:r>
      <w:r w:rsidR="00F2116A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>проти 8</w:t>
      </w:r>
      <w:r w:rsidR="004C72FD" w:rsidRPr="00F4189E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C72FD" w:rsidRPr="00F4189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>%</w:t>
      </w:r>
      <w:r w:rsidR="0096128A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>за І квартал 202</w:t>
      </w:r>
      <w:r w:rsidR="004C72FD" w:rsidRPr="00F4189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року. Укомплектованість фізичними особами штатних посад сімейних лікарів – </w:t>
      </w:r>
      <w:r w:rsidR="004C72FD" w:rsidRPr="00F4189E">
        <w:rPr>
          <w:rFonts w:ascii="Times New Roman" w:hAnsi="Times New Roman" w:cs="Times New Roman"/>
          <w:sz w:val="24"/>
          <w:szCs w:val="24"/>
          <w:lang w:val="uk-UA"/>
        </w:rPr>
        <w:t>91,8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(І квартал 202</w:t>
      </w:r>
      <w:r w:rsidR="004C72FD" w:rsidRPr="00F4189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4C72FD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- 89,9%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</w:p>
    <w:p w14:paraId="02571FF4" w14:textId="27D116F4" w:rsidR="004C250D" w:rsidRPr="00F4189E" w:rsidRDefault="004C250D" w:rsidP="00E46F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189E">
        <w:rPr>
          <w:rFonts w:ascii="Times New Roman" w:hAnsi="Times New Roman" w:cs="Times New Roman"/>
          <w:sz w:val="24"/>
          <w:szCs w:val="24"/>
          <w:lang w:val="uk-UA"/>
        </w:rPr>
        <w:t>Кількість укладених декларацій станом на 01 квітня 202</w:t>
      </w:r>
      <w:r w:rsidR="008F31E4" w:rsidRPr="00F4189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року склала </w:t>
      </w:r>
      <w:r w:rsidR="008F31E4" w:rsidRPr="00F4189E">
        <w:rPr>
          <w:rFonts w:ascii="Times New Roman" w:hAnsi="Times New Roman" w:cs="Times New Roman"/>
          <w:sz w:val="24"/>
          <w:szCs w:val="24"/>
          <w:lang w:val="uk-UA"/>
        </w:rPr>
        <w:t>80106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проти </w:t>
      </w:r>
      <w:r w:rsidR="008F31E4" w:rsidRPr="00F4189E">
        <w:rPr>
          <w:rFonts w:ascii="Times New Roman" w:hAnsi="Times New Roman" w:cs="Times New Roman"/>
          <w:sz w:val="24"/>
          <w:szCs w:val="24"/>
          <w:lang w:val="uk-UA"/>
        </w:rPr>
        <w:t>84952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за аналогічний період минулого року, що на </w:t>
      </w:r>
      <w:r w:rsidR="008F31E4" w:rsidRPr="00F4189E">
        <w:rPr>
          <w:rFonts w:ascii="Times New Roman" w:hAnsi="Times New Roman" w:cs="Times New Roman"/>
          <w:sz w:val="24"/>
          <w:szCs w:val="24"/>
          <w:lang w:val="uk-UA"/>
        </w:rPr>
        <w:t>4846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декларації менше, зменшення відмічається переважно серед дорослого населення, що пов’язано з плинністю кадрів. Кількість декларацій серед дитячого населення віком від 0 до 17 років зменшилась на </w:t>
      </w:r>
      <w:r w:rsidR="008F31E4" w:rsidRPr="00F4189E">
        <w:rPr>
          <w:rFonts w:ascii="Times New Roman" w:hAnsi="Times New Roman" w:cs="Times New Roman"/>
          <w:sz w:val="24"/>
          <w:szCs w:val="24"/>
          <w:lang w:val="uk-UA"/>
        </w:rPr>
        <w:t>1693 декларації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, тобто з </w:t>
      </w:r>
      <w:r w:rsidR="008F31E4" w:rsidRPr="00F4189E">
        <w:rPr>
          <w:rFonts w:ascii="Times New Roman" w:hAnsi="Times New Roman" w:cs="Times New Roman"/>
          <w:sz w:val="24"/>
          <w:szCs w:val="24"/>
          <w:lang w:val="uk-UA"/>
        </w:rPr>
        <w:t>16058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в І кварталі 202</w:t>
      </w:r>
      <w:r w:rsidR="008F31E4" w:rsidRPr="00F4189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році до </w:t>
      </w:r>
      <w:r w:rsidR="008F31E4" w:rsidRPr="00F4189E">
        <w:rPr>
          <w:rFonts w:ascii="Times New Roman" w:hAnsi="Times New Roman" w:cs="Times New Roman"/>
          <w:sz w:val="24"/>
          <w:szCs w:val="24"/>
          <w:lang w:val="uk-UA"/>
        </w:rPr>
        <w:t>14365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в І кварталі 202</w:t>
      </w:r>
      <w:r w:rsidR="008F31E4" w:rsidRPr="00F4189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року. Зменшення відбулось за рахунок звільнення лікарів-педіатрів, які перейшли працювати в ФП і пацієнти «пішли» за лікарем.</w:t>
      </w:r>
    </w:p>
    <w:p w14:paraId="637172A9" w14:textId="550240DF" w:rsidR="0096128A" w:rsidRPr="00F4189E" w:rsidRDefault="004B15A2" w:rsidP="00E46F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Середня кількість декларацій на 1-го лікаря складає </w:t>
      </w:r>
      <w:r w:rsidR="00F82AFC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1287 (І квартал 2025 року – </w:t>
      </w:r>
      <w:r w:rsidR="004C250D" w:rsidRPr="00F4189E">
        <w:rPr>
          <w:rFonts w:ascii="Times New Roman" w:hAnsi="Times New Roman" w:cs="Times New Roman"/>
          <w:sz w:val="24"/>
          <w:szCs w:val="24"/>
          <w:lang w:val="uk-UA"/>
        </w:rPr>
        <w:t>1327</w:t>
      </w:r>
      <w:r w:rsidR="00F82AFC" w:rsidRPr="00F4189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D91AA9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. % поданих декларацій – </w:t>
      </w:r>
      <w:r w:rsidR="00F82AFC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12,4 (І квартал 2025 року - </w:t>
      </w:r>
      <w:r w:rsidR="00E97EEC" w:rsidRPr="00F4189E">
        <w:rPr>
          <w:rFonts w:ascii="Times New Roman" w:hAnsi="Times New Roman" w:cs="Times New Roman"/>
          <w:sz w:val="24"/>
          <w:szCs w:val="24"/>
          <w:lang w:val="uk-UA"/>
        </w:rPr>
        <w:t>12,</w:t>
      </w:r>
      <w:r w:rsidR="004C250D" w:rsidRPr="00F4189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82AFC" w:rsidRPr="00F4189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703F449" w14:textId="79207F31" w:rsidR="0096128A" w:rsidRPr="00F4189E" w:rsidRDefault="0096128A" w:rsidP="005026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189E">
        <w:rPr>
          <w:rFonts w:ascii="Times New Roman" w:hAnsi="Times New Roman" w:cs="Times New Roman"/>
          <w:sz w:val="24"/>
          <w:szCs w:val="24"/>
          <w:lang w:val="uk-UA"/>
        </w:rPr>
        <w:t>За доступними/наявними даними впродовж</w:t>
      </w:r>
      <w:r w:rsidR="005026E6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січня-березня 2026 року померло 255 осіб, які були декларантами закладу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26E6" w:rsidRPr="00F4189E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>січ</w:t>
      </w:r>
      <w:r w:rsidR="005026E6" w:rsidRPr="00F4189E">
        <w:rPr>
          <w:rFonts w:ascii="Times New Roman" w:hAnsi="Times New Roman" w:cs="Times New Roman"/>
          <w:sz w:val="24"/>
          <w:szCs w:val="24"/>
          <w:lang w:val="uk-UA"/>
        </w:rPr>
        <w:t>ень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>-берез</w:t>
      </w:r>
      <w:r w:rsidR="005026E6" w:rsidRPr="00F4189E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5026E6" w:rsidRPr="00F4189E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2025 року померло 226 осіб задекларованих в закладі</w:t>
      </w:r>
      <w:r w:rsidR="005026E6" w:rsidRPr="00F4189E">
        <w:rPr>
          <w:rFonts w:ascii="Times New Roman" w:hAnsi="Times New Roman" w:cs="Times New Roman"/>
          <w:sz w:val="24"/>
          <w:szCs w:val="24"/>
          <w:lang w:val="uk-UA"/>
        </w:rPr>
        <w:t>).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DBF4021" w14:textId="0CA5279B" w:rsidR="0096128A" w:rsidRPr="00F4189E" w:rsidRDefault="0096128A" w:rsidP="00E46F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Показник смертності за всіма причинами, розрахований на підставі даних «Лікарського свідоцтва про смерть» форми №106/о, затвердженої наказом МОЗ України від 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08.08.2006 року №545 у розрахунку на 100 тисяч задекларованого населення всіх вікових груп </w:t>
      </w:r>
      <w:r w:rsidR="003C29A4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збільшився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 </w:t>
      </w:r>
      <w:r w:rsidR="003C29A4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266,0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І кварталі 202</w:t>
      </w:r>
      <w:r w:rsidR="003C29A4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 до </w:t>
      </w:r>
      <w:r w:rsidR="003C29A4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318,3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поточному році, тобто на </w:t>
      </w:r>
      <w:r w:rsidR="003C29A4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19,7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%. </w:t>
      </w:r>
    </w:p>
    <w:p w14:paraId="7145DC2E" w14:textId="77777777" w:rsidR="004C72FD" w:rsidRPr="00F4189E" w:rsidRDefault="004C72FD" w:rsidP="00E46F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6D0C00E3" w14:textId="2A6EA1E7" w:rsidR="0096128A" w:rsidRPr="00F4189E" w:rsidRDefault="0096128A" w:rsidP="00E46F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4189E">
        <w:rPr>
          <w:rFonts w:ascii="Times New Roman" w:eastAsia="Calibri" w:hAnsi="Times New Roman" w:cs="Times New Roman"/>
          <w:b/>
          <w:sz w:val="24"/>
          <w:szCs w:val="24"/>
          <w:lang w:val="uk-UA"/>
        </w:rPr>
        <w:t>У структурі смертності за причинами (серед дорослого населення):</w:t>
      </w:r>
    </w:p>
    <w:p w14:paraId="008AE893" w14:textId="21B745CD" w:rsidR="0096128A" w:rsidRPr="00F4189E" w:rsidRDefault="0096128A" w:rsidP="00E46F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першому місці, знаходяться хвороби системи кровообігу і становлять від загальної кількості смертей </w:t>
      </w:r>
      <w:r w:rsidR="005026E6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71,0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%, (І квартал 202</w:t>
      </w:r>
      <w:r w:rsidR="005026E6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  – </w:t>
      </w:r>
      <w:r w:rsidR="005026E6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65,9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%); </w:t>
      </w:r>
    </w:p>
    <w:p w14:paraId="2EDD5924" w14:textId="3F63628B" w:rsidR="0096128A" w:rsidRPr="00F4189E" w:rsidRDefault="0096128A" w:rsidP="005026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другому – смерті від злоякісних новоутворень – </w:t>
      </w:r>
      <w:r w:rsidR="005026E6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14,9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%</w:t>
      </w:r>
      <w:r w:rsidR="005026E6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(І квартал 202</w:t>
      </w:r>
      <w:r w:rsidR="005026E6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  – </w:t>
      </w:r>
      <w:r w:rsidR="005026E6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22,1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%); </w:t>
      </w:r>
    </w:p>
    <w:p w14:paraId="7CB17A70" w14:textId="1DFDECC7" w:rsidR="0096128A" w:rsidRPr="00F4189E" w:rsidRDefault="0096128A" w:rsidP="00E46F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третьому – хвороби органів дихання – </w:t>
      </w:r>
      <w:r w:rsidR="005026E6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5,5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% (І квартал 202</w:t>
      </w:r>
      <w:r w:rsidR="005026E6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  – 4,</w:t>
      </w:r>
      <w:r w:rsidR="005026E6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0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%).</w:t>
      </w:r>
    </w:p>
    <w:p w14:paraId="3FB31C04" w14:textId="44AD3A22" w:rsidR="0096128A" w:rsidRPr="00F4189E" w:rsidRDefault="0096128A" w:rsidP="00E46F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Смертність населення у працездатному віці становить </w:t>
      </w:r>
      <w:r w:rsidR="005C5E59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36,0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(17</w:t>
      </w:r>
      <w:r w:rsidR="00E46FF4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осіб) проти </w:t>
      </w:r>
      <w:r w:rsidR="005C5E59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33,8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55468CB5" w14:textId="3EC752D9" w:rsidR="0096128A" w:rsidRPr="00F4189E" w:rsidRDefault="0096128A" w:rsidP="00E46F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І квартал за 202</w:t>
      </w:r>
      <w:r w:rsidR="005C5E59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 (</w:t>
      </w:r>
      <w:r w:rsidR="005C5E59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17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осіб). </w:t>
      </w:r>
    </w:p>
    <w:p w14:paraId="0E90F1FE" w14:textId="77777777" w:rsidR="0096128A" w:rsidRPr="00F4189E" w:rsidRDefault="0096128A" w:rsidP="00E46F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9A068E0" w14:textId="219375A6" w:rsidR="003801E8" w:rsidRPr="00F4189E" w:rsidRDefault="003801E8" w:rsidP="00E46F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Кількість відвідувань до лікарів в поліклініку </w:t>
      </w:r>
      <w:r w:rsidR="00B34870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зменшилась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</w:t>
      </w:r>
      <w:r w:rsidR="00B34870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19308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або на </w:t>
      </w:r>
      <w:r w:rsidR="00B34870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24,7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% з </w:t>
      </w:r>
      <w:r w:rsidR="00B34870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78075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</w:t>
      </w:r>
      <w:r w:rsidR="00B34870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58767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На </w:t>
      </w:r>
      <w:r w:rsidR="00B34870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32,2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% або на </w:t>
      </w:r>
      <w:r w:rsidR="00B34870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327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FF7386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зменшилась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кількість відвідувань вдома з </w:t>
      </w:r>
      <w:r w:rsidR="00B34870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1014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</w:t>
      </w:r>
      <w:r w:rsidR="00FF7386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 кварталі 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202</w:t>
      </w:r>
      <w:r w:rsidR="00B34870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</w:t>
      </w:r>
      <w:r w:rsidR="00FF7386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ку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</w:t>
      </w:r>
      <w:r w:rsidR="00B34870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687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</w:t>
      </w:r>
      <w:r w:rsidR="00FF7386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І кварталі 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202</w:t>
      </w:r>
      <w:r w:rsidR="00B34870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</w:t>
      </w:r>
      <w:r w:rsidR="00FF7386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ку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 Кількість відвідувань в поліклініку на 1 декларанта склала </w:t>
      </w:r>
      <w:r w:rsidR="00FF7386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0,7</w:t>
      </w:r>
      <w:r w:rsidR="00B34870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що на рівні аналогічного періоду минулого року – </w:t>
      </w:r>
      <w:r w:rsidR="00FF7386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0,</w:t>
      </w:r>
      <w:r w:rsidR="00246678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73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49E43DC7" w14:textId="77777777" w:rsidR="003801E8" w:rsidRPr="00F4189E" w:rsidRDefault="003801E8" w:rsidP="00E46FF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5422E46B" w14:textId="77777777" w:rsidR="003801E8" w:rsidRPr="00F4189E" w:rsidRDefault="003801E8" w:rsidP="00E46F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4189E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Кількість відвідувань лікарів</w:t>
      </w:r>
      <w:r w:rsidR="00EF7AB9" w:rsidRPr="00F4189E">
        <w:rPr>
          <w:rFonts w:ascii="Times New Roman" w:eastAsia="Calibri" w:hAnsi="Times New Roman" w:cs="Times New Roman"/>
          <w:b/>
          <w:sz w:val="24"/>
          <w:szCs w:val="24"/>
          <w:lang w:val="uk-UA"/>
        </w:rPr>
        <w:t>:</w:t>
      </w: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5958"/>
        <w:gridCol w:w="1271"/>
        <w:gridCol w:w="1423"/>
      </w:tblGrid>
      <w:tr w:rsidR="003801E8" w:rsidRPr="00F4189E" w14:paraId="06B98E66" w14:textId="77777777" w:rsidTr="00E46FF4">
        <w:tc>
          <w:tcPr>
            <w:tcW w:w="705" w:type="dxa"/>
            <w:shd w:val="clear" w:color="auto" w:fill="auto"/>
            <w:vAlign w:val="center"/>
          </w:tcPr>
          <w:p w14:paraId="59A1B0A4" w14:textId="77777777" w:rsidR="003801E8" w:rsidRPr="00F4189E" w:rsidRDefault="003801E8" w:rsidP="00E46F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958" w:type="dxa"/>
            <w:shd w:val="clear" w:color="auto" w:fill="auto"/>
            <w:vAlign w:val="center"/>
          </w:tcPr>
          <w:p w14:paraId="2B026044" w14:textId="77777777" w:rsidR="003801E8" w:rsidRPr="00F4189E" w:rsidRDefault="003801E8" w:rsidP="00E46F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Назва показника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533DEA2" w14:textId="081BD2A6" w:rsidR="003801E8" w:rsidRPr="00F4189E" w:rsidRDefault="004C250D" w:rsidP="00E46F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 квартал 202</w:t>
            </w:r>
            <w:r w:rsidR="00A47254" w:rsidRPr="00F4189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F4189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1F09CBC" w14:textId="7BD0E96B" w:rsidR="003801E8" w:rsidRPr="00F4189E" w:rsidRDefault="004C250D" w:rsidP="00E46F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 квартал 202</w:t>
            </w:r>
            <w:r w:rsidR="00A47254" w:rsidRPr="00F4189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DC421C" w:rsidRPr="00F4189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A47254" w:rsidRPr="00F4189E" w14:paraId="383BCA6E" w14:textId="77777777" w:rsidTr="00E46FF4">
        <w:tc>
          <w:tcPr>
            <w:tcW w:w="705" w:type="dxa"/>
            <w:vMerge w:val="restart"/>
            <w:shd w:val="clear" w:color="auto" w:fill="auto"/>
          </w:tcPr>
          <w:p w14:paraId="17989815" w14:textId="77777777" w:rsidR="00A47254" w:rsidRPr="00F4189E" w:rsidRDefault="00A47254" w:rsidP="00A472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8" w:type="dxa"/>
            <w:shd w:val="clear" w:color="auto" w:fill="auto"/>
          </w:tcPr>
          <w:p w14:paraId="540F0A80" w14:textId="77777777" w:rsidR="00A47254" w:rsidRPr="00F4189E" w:rsidRDefault="00A47254" w:rsidP="00A472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Кількість відвідувань лікарів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012B9E3" w14:textId="56B1DA54" w:rsidR="00A47254" w:rsidRPr="00F4189E" w:rsidRDefault="00A47254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78075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972127B" w14:textId="7106E0FF" w:rsidR="00A47254" w:rsidRPr="00F4189E" w:rsidRDefault="00A47254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58767</w:t>
            </w:r>
          </w:p>
        </w:tc>
      </w:tr>
      <w:tr w:rsidR="00A47254" w:rsidRPr="00F4189E" w14:paraId="453FFC42" w14:textId="77777777" w:rsidTr="00E46FF4">
        <w:tc>
          <w:tcPr>
            <w:tcW w:w="705" w:type="dxa"/>
            <w:vMerge/>
            <w:shd w:val="clear" w:color="auto" w:fill="auto"/>
          </w:tcPr>
          <w:p w14:paraId="68D1BE51" w14:textId="77777777" w:rsidR="00A47254" w:rsidRPr="00F4189E" w:rsidRDefault="00A47254" w:rsidP="00A472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58" w:type="dxa"/>
            <w:shd w:val="clear" w:color="auto" w:fill="auto"/>
          </w:tcPr>
          <w:p w14:paraId="517F19E4" w14:textId="77777777" w:rsidR="00A47254" w:rsidRPr="00F4189E" w:rsidRDefault="00A47254" w:rsidP="00A472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14113252" w14:textId="77777777" w:rsidR="00A47254" w:rsidRPr="00F4189E" w:rsidRDefault="00A47254" w:rsidP="00A47254">
            <w:pPr>
              <w:pStyle w:val="a9"/>
              <w:numPr>
                <w:ilvl w:val="0"/>
                <w:numId w:val="15"/>
              </w:num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189E">
              <w:rPr>
                <w:rFonts w:ascii="Times New Roman" w:eastAsia="Calibri" w:hAnsi="Times New Roman" w:cs="Times New Roman"/>
                <w:sz w:val="24"/>
                <w:szCs w:val="24"/>
              </w:rPr>
              <w:t>терапевти</w:t>
            </w:r>
            <w:proofErr w:type="spellEnd"/>
          </w:p>
        </w:tc>
        <w:tc>
          <w:tcPr>
            <w:tcW w:w="1271" w:type="dxa"/>
            <w:shd w:val="clear" w:color="auto" w:fill="auto"/>
            <w:vAlign w:val="center"/>
          </w:tcPr>
          <w:p w14:paraId="00119BEA" w14:textId="77777777" w:rsidR="00A47254" w:rsidRPr="00F4189E" w:rsidRDefault="00A47254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6D480929" w14:textId="3E9719DA" w:rsidR="00A47254" w:rsidRPr="00F4189E" w:rsidRDefault="00A47254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6863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B389884" w14:textId="78260747" w:rsidR="00A47254" w:rsidRPr="00F4189E" w:rsidRDefault="00A47254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4487</w:t>
            </w:r>
          </w:p>
        </w:tc>
      </w:tr>
      <w:tr w:rsidR="00A47254" w:rsidRPr="00F4189E" w14:paraId="0EC79A38" w14:textId="77777777" w:rsidTr="00E46FF4">
        <w:tc>
          <w:tcPr>
            <w:tcW w:w="705" w:type="dxa"/>
            <w:vMerge/>
            <w:shd w:val="clear" w:color="auto" w:fill="auto"/>
          </w:tcPr>
          <w:p w14:paraId="42BD5701" w14:textId="77777777" w:rsidR="00A47254" w:rsidRPr="00F4189E" w:rsidRDefault="00A47254" w:rsidP="00A472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58" w:type="dxa"/>
            <w:shd w:val="clear" w:color="auto" w:fill="auto"/>
          </w:tcPr>
          <w:p w14:paraId="74BF91D5" w14:textId="77777777" w:rsidR="00A47254" w:rsidRPr="00F4189E" w:rsidRDefault="00A47254" w:rsidP="00A47254">
            <w:pPr>
              <w:pStyle w:val="a9"/>
              <w:numPr>
                <w:ilvl w:val="0"/>
                <w:numId w:val="14"/>
              </w:num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189E">
              <w:rPr>
                <w:rFonts w:ascii="Times New Roman" w:eastAsia="Calibri" w:hAnsi="Times New Roman" w:cs="Times New Roman"/>
                <w:sz w:val="24"/>
                <w:szCs w:val="24"/>
              </w:rPr>
              <w:t>загальної</w:t>
            </w:r>
            <w:proofErr w:type="spellEnd"/>
            <w:r w:rsidRPr="00F41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практики-</w:t>
            </w:r>
            <w:proofErr w:type="spellStart"/>
            <w:r w:rsidRPr="00F4189E">
              <w:rPr>
                <w:rFonts w:ascii="Times New Roman" w:eastAsia="Calibri" w:hAnsi="Times New Roman" w:cs="Times New Roman"/>
                <w:sz w:val="24"/>
                <w:szCs w:val="24"/>
              </w:rPr>
              <w:t>сімейної</w:t>
            </w:r>
            <w:proofErr w:type="spellEnd"/>
            <w:r w:rsidRPr="00F41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89E">
              <w:rPr>
                <w:rFonts w:ascii="Times New Roman" w:eastAsia="Calibri" w:hAnsi="Times New Roman" w:cs="Times New Roman"/>
                <w:sz w:val="24"/>
                <w:szCs w:val="24"/>
              </w:rPr>
              <w:t>медицини</w:t>
            </w:r>
            <w:proofErr w:type="spellEnd"/>
          </w:p>
        </w:tc>
        <w:tc>
          <w:tcPr>
            <w:tcW w:w="1271" w:type="dxa"/>
            <w:shd w:val="clear" w:color="auto" w:fill="auto"/>
            <w:vAlign w:val="center"/>
          </w:tcPr>
          <w:p w14:paraId="744A9BBA" w14:textId="45C7A2BA" w:rsidR="00A47254" w:rsidRPr="00F4189E" w:rsidRDefault="00A47254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46184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D451871" w14:textId="38DE2233" w:rsidR="00A47254" w:rsidRPr="00F4189E" w:rsidRDefault="00A47254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33455</w:t>
            </w:r>
          </w:p>
        </w:tc>
      </w:tr>
      <w:tr w:rsidR="00A47254" w:rsidRPr="00F4189E" w14:paraId="2B55C5B3" w14:textId="77777777" w:rsidTr="00E46FF4">
        <w:tc>
          <w:tcPr>
            <w:tcW w:w="705" w:type="dxa"/>
            <w:vMerge/>
            <w:shd w:val="clear" w:color="auto" w:fill="auto"/>
          </w:tcPr>
          <w:p w14:paraId="1A7410DE" w14:textId="77777777" w:rsidR="00A47254" w:rsidRPr="00F4189E" w:rsidRDefault="00A47254" w:rsidP="00A472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58" w:type="dxa"/>
            <w:shd w:val="clear" w:color="auto" w:fill="auto"/>
          </w:tcPr>
          <w:p w14:paraId="71B7C2CD" w14:textId="77777777" w:rsidR="00A47254" w:rsidRPr="00F4189E" w:rsidRDefault="00A47254" w:rsidP="00A47254">
            <w:pPr>
              <w:pStyle w:val="a9"/>
              <w:numPr>
                <w:ilvl w:val="0"/>
                <w:numId w:val="14"/>
              </w:num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189E">
              <w:rPr>
                <w:rFonts w:ascii="Times New Roman" w:eastAsia="Calibri" w:hAnsi="Times New Roman" w:cs="Times New Roman"/>
                <w:sz w:val="24"/>
                <w:szCs w:val="24"/>
              </w:rPr>
              <w:t>педіатри</w:t>
            </w:r>
            <w:proofErr w:type="spellEnd"/>
          </w:p>
        </w:tc>
        <w:tc>
          <w:tcPr>
            <w:tcW w:w="1271" w:type="dxa"/>
            <w:shd w:val="clear" w:color="auto" w:fill="auto"/>
            <w:vAlign w:val="center"/>
          </w:tcPr>
          <w:p w14:paraId="31B92E7B" w14:textId="16BA9B94" w:rsidR="00A47254" w:rsidRPr="00F4189E" w:rsidRDefault="00A47254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25028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838EFD7" w14:textId="59EED9F0" w:rsidR="00A47254" w:rsidRPr="00F4189E" w:rsidRDefault="00A47254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20825</w:t>
            </w:r>
          </w:p>
        </w:tc>
      </w:tr>
      <w:tr w:rsidR="00A47254" w:rsidRPr="00F4189E" w14:paraId="2FEBA536" w14:textId="77777777" w:rsidTr="00E46FF4">
        <w:tc>
          <w:tcPr>
            <w:tcW w:w="705" w:type="dxa"/>
            <w:vMerge w:val="restart"/>
            <w:shd w:val="clear" w:color="auto" w:fill="auto"/>
          </w:tcPr>
          <w:p w14:paraId="148E3F85" w14:textId="77777777" w:rsidR="00A47254" w:rsidRPr="00F4189E" w:rsidRDefault="00A47254" w:rsidP="00A472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958" w:type="dxa"/>
            <w:shd w:val="clear" w:color="auto" w:fill="auto"/>
          </w:tcPr>
          <w:p w14:paraId="30277C7A" w14:textId="77777777" w:rsidR="00A47254" w:rsidRPr="00F4189E" w:rsidRDefault="00A47254" w:rsidP="00A472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Кількість відвідувань лікарями пацієнтів удома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5DF1FC5" w14:textId="0FEF46B9" w:rsidR="00A47254" w:rsidRPr="00F4189E" w:rsidRDefault="00A47254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1014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BD2C567" w14:textId="31220010" w:rsidR="00A47254" w:rsidRPr="00F4189E" w:rsidRDefault="00A47254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687</w:t>
            </w:r>
          </w:p>
        </w:tc>
      </w:tr>
      <w:tr w:rsidR="00A47254" w:rsidRPr="00F4189E" w14:paraId="57F371FA" w14:textId="77777777" w:rsidTr="00E46FF4">
        <w:tc>
          <w:tcPr>
            <w:tcW w:w="705" w:type="dxa"/>
            <w:vMerge/>
            <w:shd w:val="clear" w:color="auto" w:fill="auto"/>
          </w:tcPr>
          <w:p w14:paraId="7E2DC335" w14:textId="77777777" w:rsidR="00A47254" w:rsidRPr="00F4189E" w:rsidRDefault="00A47254" w:rsidP="00A472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58" w:type="dxa"/>
            <w:shd w:val="clear" w:color="auto" w:fill="auto"/>
          </w:tcPr>
          <w:p w14:paraId="3CA6CA1B" w14:textId="77777777" w:rsidR="00A47254" w:rsidRPr="00F4189E" w:rsidRDefault="00A47254" w:rsidP="00A472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65A43F67" w14:textId="77777777" w:rsidR="00A47254" w:rsidRPr="00F4189E" w:rsidRDefault="00A47254" w:rsidP="00A47254">
            <w:pPr>
              <w:pStyle w:val="a9"/>
              <w:numPr>
                <w:ilvl w:val="0"/>
                <w:numId w:val="15"/>
              </w:num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189E">
              <w:rPr>
                <w:rFonts w:ascii="Times New Roman" w:eastAsia="Calibri" w:hAnsi="Times New Roman" w:cs="Times New Roman"/>
                <w:sz w:val="24"/>
                <w:szCs w:val="24"/>
              </w:rPr>
              <w:t>терапевти</w:t>
            </w:r>
            <w:proofErr w:type="spellEnd"/>
          </w:p>
        </w:tc>
        <w:tc>
          <w:tcPr>
            <w:tcW w:w="1271" w:type="dxa"/>
            <w:shd w:val="clear" w:color="auto" w:fill="auto"/>
            <w:vAlign w:val="center"/>
          </w:tcPr>
          <w:p w14:paraId="6978E565" w14:textId="77777777" w:rsidR="00A47254" w:rsidRPr="00F4189E" w:rsidRDefault="00A47254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3D4EDC3D" w14:textId="5E054AC0" w:rsidR="00A47254" w:rsidRPr="00F4189E" w:rsidRDefault="00A47254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108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2EA0CA2" w14:textId="5A347BE6" w:rsidR="00A47254" w:rsidRPr="00F4189E" w:rsidRDefault="00A47254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122</w:t>
            </w:r>
          </w:p>
        </w:tc>
      </w:tr>
      <w:tr w:rsidR="00A47254" w:rsidRPr="00F4189E" w14:paraId="5987013F" w14:textId="77777777" w:rsidTr="00E46FF4">
        <w:tc>
          <w:tcPr>
            <w:tcW w:w="705" w:type="dxa"/>
            <w:vMerge/>
            <w:shd w:val="clear" w:color="auto" w:fill="auto"/>
          </w:tcPr>
          <w:p w14:paraId="31685678" w14:textId="77777777" w:rsidR="00A47254" w:rsidRPr="00F4189E" w:rsidRDefault="00A47254" w:rsidP="00A472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58" w:type="dxa"/>
            <w:shd w:val="clear" w:color="auto" w:fill="auto"/>
          </w:tcPr>
          <w:p w14:paraId="0AC9FA7C" w14:textId="77777777" w:rsidR="00A47254" w:rsidRPr="00F4189E" w:rsidRDefault="00A47254" w:rsidP="00A47254">
            <w:pPr>
              <w:pStyle w:val="a9"/>
              <w:numPr>
                <w:ilvl w:val="0"/>
                <w:numId w:val="14"/>
              </w:num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189E">
              <w:rPr>
                <w:rFonts w:ascii="Times New Roman" w:eastAsia="Calibri" w:hAnsi="Times New Roman" w:cs="Times New Roman"/>
                <w:sz w:val="24"/>
                <w:szCs w:val="24"/>
              </w:rPr>
              <w:t>загальної</w:t>
            </w:r>
            <w:proofErr w:type="spellEnd"/>
            <w:r w:rsidRPr="00F41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практики-</w:t>
            </w:r>
            <w:proofErr w:type="spellStart"/>
            <w:r w:rsidRPr="00F4189E">
              <w:rPr>
                <w:rFonts w:ascii="Times New Roman" w:eastAsia="Calibri" w:hAnsi="Times New Roman" w:cs="Times New Roman"/>
                <w:sz w:val="24"/>
                <w:szCs w:val="24"/>
              </w:rPr>
              <w:t>сімейної</w:t>
            </w:r>
            <w:proofErr w:type="spellEnd"/>
            <w:r w:rsidRPr="00F41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89E">
              <w:rPr>
                <w:rFonts w:ascii="Times New Roman" w:eastAsia="Calibri" w:hAnsi="Times New Roman" w:cs="Times New Roman"/>
                <w:sz w:val="24"/>
                <w:szCs w:val="24"/>
              </w:rPr>
              <w:t>медицини</w:t>
            </w:r>
            <w:proofErr w:type="spellEnd"/>
          </w:p>
        </w:tc>
        <w:tc>
          <w:tcPr>
            <w:tcW w:w="1271" w:type="dxa"/>
            <w:shd w:val="clear" w:color="auto" w:fill="auto"/>
            <w:vAlign w:val="center"/>
          </w:tcPr>
          <w:p w14:paraId="019B2611" w14:textId="0C1199A5" w:rsidR="00A47254" w:rsidRPr="00F4189E" w:rsidRDefault="00A47254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579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8100470" w14:textId="2349D4AC" w:rsidR="00A47254" w:rsidRPr="00F4189E" w:rsidRDefault="00A47254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459</w:t>
            </w:r>
          </w:p>
        </w:tc>
      </w:tr>
      <w:tr w:rsidR="00A47254" w:rsidRPr="00F4189E" w14:paraId="2F6A51E2" w14:textId="77777777" w:rsidTr="00E46FF4">
        <w:tc>
          <w:tcPr>
            <w:tcW w:w="705" w:type="dxa"/>
            <w:vMerge/>
            <w:shd w:val="clear" w:color="auto" w:fill="auto"/>
          </w:tcPr>
          <w:p w14:paraId="2B47BAE9" w14:textId="77777777" w:rsidR="00A47254" w:rsidRPr="00F4189E" w:rsidRDefault="00A47254" w:rsidP="00A472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58" w:type="dxa"/>
            <w:shd w:val="clear" w:color="auto" w:fill="auto"/>
          </w:tcPr>
          <w:p w14:paraId="79DA3B22" w14:textId="77777777" w:rsidR="00A47254" w:rsidRPr="00F4189E" w:rsidRDefault="00A47254" w:rsidP="00A47254">
            <w:pPr>
              <w:pStyle w:val="a9"/>
              <w:numPr>
                <w:ilvl w:val="0"/>
                <w:numId w:val="14"/>
              </w:num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189E">
              <w:rPr>
                <w:rFonts w:ascii="Times New Roman" w:eastAsia="Calibri" w:hAnsi="Times New Roman" w:cs="Times New Roman"/>
                <w:sz w:val="24"/>
                <w:szCs w:val="24"/>
              </w:rPr>
              <w:t>педіатри</w:t>
            </w:r>
            <w:proofErr w:type="spellEnd"/>
          </w:p>
        </w:tc>
        <w:tc>
          <w:tcPr>
            <w:tcW w:w="1271" w:type="dxa"/>
            <w:shd w:val="clear" w:color="auto" w:fill="auto"/>
            <w:vAlign w:val="center"/>
          </w:tcPr>
          <w:p w14:paraId="441B73EC" w14:textId="1A400604" w:rsidR="00A47254" w:rsidRPr="00F4189E" w:rsidRDefault="00A47254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327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C3B0637" w14:textId="01196969" w:rsidR="00A47254" w:rsidRPr="00F4189E" w:rsidRDefault="00A47254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106</w:t>
            </w:r>
          </w:p>
        </w:tc>
      </w:tr>
      <w:tr w:rsidR="00A47254" w:rsidRPr="00F4189E" w14:paraId="1D10E45C" w14:textId="77777777" w:rsidTr="00E46FF4">
        <w:tc>
          <w:tcPr>
            <w:tcW w:w="705" w:type="dxa"/>
            <w:shd w:val="clear" w:color="auto" w:fill="auto"/>
          </w:tcPr>
          <w:p w14:paraId="1CD42624" w14:textId="77777777" w:rsidR="00A47254" w:rsidRPr="00F4189E" w:rsidRDefault="00A47254" w:rsidP="00A472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958" w:type="dxa"/>
            <w:shd w:val="clear" w:color="auto" w:fill="auto"/>
          </w:tcPr>
          <w:p w14:paraId="11C80128" w14:textId="77777777" w:rsidR="00A47254" w:rsidRPr="00F4189E" w:rsidRDefault="00A47254" w:rsidP="00A472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Кількість пролікованих хворих у стаціонарі вдома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0E11959" w14:textId="25338E56" w:rsidR="00A47254" w:rsidRPr="00F4189E" w:rsidRDefault="00A47254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6963F8E" w14:textId="1E7BD468" w:rsidR="00A47254" w:rsidRPr="00F4189E" w:rsidRDefault="007412EC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12/119 ліжко-днів</w:t>
            </w:r>
          </w:p>
        </w:tc>
      </w:tr>
    </w:tbl>
    <w:p w14:paraId="2C15529F" w14:textId="77777777" w:rsidR="003801E8" w:rsidRPr="00F4189E" w:rsidRDefault="003801E8" w:rsidP="00E46F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490F7640" w14:textId="77777777" w:rsidR="003801E8" w:rsidRPr="00F4189E" w:rsidRDefault="003801E8" w:rsidP="00E46FF4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4189E">
        <w:rPr>
          <w:rFonts w:ascii="Times New Roman" w:hAnsi="Times New Roman" w:cs="Times New Roman"/>
          <w:b/>
          <w:sz w:val="24"/>
          <w:szCs w:val="24"/>
          <w:lang w:val="uk-UA"/>
        </w:rPr>
        <w:t>Кількість проведених лабораторних та інструментальних діагностичних досліджень, що здійснюються у межах медичних послуг з надання ПМД.</w:t>
      </w:r>
      <w:r w:rsidR="00EF7AB9" w:rsidRPr="00F4189E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F4189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2943"/>
        <w:gridCol w:w="2268"/>
        <w:gridCol w:w="2268"/>
        <w:gridCol w:w="1985"/>
      </w:tblGrid>
      <w:tr w:rsidR="003801E8" w:rsidRPr="00F4189E" w14:paraId="18447C27" w14:textId="77777777" w:rsidTr="00FD2099">
        <w:trPr>
          <w:trHeight w:val="675"/>
        </w:trPr>
        <w:tc>
          <w:tcPr>
            <w:tcW w:w="2943" w:type="dxa"/>
            <w:vAlign w:val="center"/>
          </w:tcPr>
          <w:p w14:paraId="713862F1" w14:textId="77777777" w:rsidR="003801E8" w:rsidRPr="00F4189E" w:rsidRDefault="003801E8" w:rsidP="00E46F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18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лабораторних та інструментальних діагностичних досліджень</w:t>
            </w:r>
          </w:p>
        </w:tc>
        <w:tc>
          <w:tcPr>
            <w:tcW w:w="2268" w:type="dxa"/>
            <w:vAlign w:val="center"/>
          </w:tcPr>
          <w:p w14:paraId="1B38B4C2" w14:textId="224ED63D" w:rsidR="003801E8" w:rsidRPr="00F4189E" w:rsidRDefault="00FD2099" w:rsidP="00E46F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18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 квартал </w:t>
            </w:r>
            <w:r w:rsidR="003801E8" w:rsidRPr="00F418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A47254" w:rsidRPr="00F418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3801E8" w:rsidRPr="00F418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268" w:type="dxa"/>
            <w:vAlign w:val="center"/>
          </w:tcPr>
          <w:p w14:paraId="697B3E08" w14:textId="1759ED01" w:rsidR="003801E8" w:rsidRPr="00F4189E" w:rsidRDefault="00FD2099" w:rsidP="00E46F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18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 квартал </w:t>
            </w:r>
            <w:r w:rsidR="003801E8" w:rsidRPr="00F418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A47254" w:rsidRPr="00F418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3801E8" w:rsidRPr="00F418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985" w:type="dxa"/>
            <w:vAlign w:val="center"/>
          </w:tcPr>
          <w:p w14:paraId="3807A4A7" w14:textId="77777777" w:rsidR="003801E8" w:rsidRPr="00F4189E" w:rsidRDefault="003801E8" w:rsidP="00E46F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18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Темп росту/зниження</w:t>
            </w:r>
          </w:p>
        </w:tc>
      </w:tr>
      <w:tr w:rsidR="00A47254" w:rsidRPr="00F4189E" w14:paraId="2565F1D1" w14:textId="77777777" w:rsidTr="00FD2099">
        <w:tc>
          <w:tcPr>
            <w:tcW w:w="2943" w:type="dxa"/>
          </w:tcPr>
          <w:p w14:paraId="165BA3B6" w14:textId="77777777" w:rsidR="00A47254" w:rsidRPr="00F4189E" w:rsidRDefault="00A47254" w:rsidP="00A47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Електрокардіограф</w:t>
            </w:r>
          </w:p>
        </w:tc>
        <w:tc>
          <w:tcPr>
            <w:tcW w:w="2268" w:type="dxa"/>
          </w:tcPr>
          <w:p w14:paraId="54A431CA" w14:textId="5A08E571" w:rsidR="00A47254" w:rsidRPr="00F4189E" w:rsidRDefault="00781D7C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5036</w:t>
            </w:r>
          </w:p>
        </w:tc>
        <w:tc>
          <w:tcPr>
            <w:tcW w:w="2268" w:type="dxa"/>
          </w:tcPr>
          <w:p w14:paraId="3A1706D2" w14:textId="6137CF34" w:rsidR="00A47254" w:rsidRPr="00F4189E" w:rsidRDefault="004C72FD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3853</w:t>
            </w:r>
          </w:p>
        </w:tc>
        <w:tc>
          <w:tcPr>
            <w:tcW w:w="1985" w:type="dxa"/>
          </w:tcPr>
          <w:p w14:paraId="206D8A78" w14:textId="5F7107DD" w:rsidR="00A47254" w:rsidRPr="00F4189E" w:rsidRDefault="004C72FD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="00781D7C"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1183</w:t>
            </w:r>
          </w:p>
        </w:tc>
      </w:tr>
      <w:tr w:rsidR="00A47254" w:rsidRPr="00F4189E" w14:paraId="04F6D0A8" w14:textId="77777777" w:rsidTr="00FD2099">
        <w:tc>
          <w:tcPr>
            <w:tcW w:w="2943" w:type="dxa"/>
          </w:tcPr>
          <w:p w14:paraId="52FA98B2" w14:textId="77777777" w:rsidR="00A47254" w:rsidRPr="00F4189E" w:rsidRDefault="00A47254" w:rsidP="00A47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18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Небулайзер</w:t>
            </w:r>
            <w:proofErr w:type="spellEnd"/>
          </w:p>
        </w:tc>
        <w:tc>
          <w:tcPr>
            <w:tcW w:w="2268" w:type="dxa"/>
          </w:tcPr>
          <w:p w14:paraId="72C0C039" w14:textId="309F33DF" w:rsidR="00A47254" w:rsidRPr="00F4189E" w:rsidRDefault="00A47254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676</w:t>
            </w:r>
          </w:p>
        </w:tc>
        <w:tc>
          <w:tcPr>
            <w:tcW w:w="2268" w:type="dxa"/>
          </w:tcPr>
          <w:p w14:paraId="679B498F" w14:textId="17CBA1A5" w:rsidR="00A47254" w:rsidRPr="00F4189E" w:rsidRDefault="004C72FD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656</w:t>
            </w:r>
          </w:p>
        </w:tc>
        <w:tc>
          <w:tcPr>
            <w:tcW w:w="1985" w:type="dxa"/>
          </w:tcPr>
          <w:p w14:paraId="4B61E0B8" w14:textId="52D3BBA4" w:rsidR="00A47254" w:rsidRPr="00F4189E" w:rsidRDefault="004C72FD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-20</w:t>
            </w:r>
          </w:p>
        </w:tc>
      </w:tr>
      <w:tr w:rsidR="00A47254" w:rsidRPr="00F4189E" w14:paraId="3F45D10F" w14:textId="77777777" w:rsidTr="00FD2099">
        <w:tc>
          <w:tcPr>
            <w:tcW w:w="2943" w:type="dxa"/>
          </w:tcPr>
          <w:p w14:paraId="0BAF8065" w14:textId="77777777" w:rsidR="00A47254" w:rsidRPr="00F4189E" w:rsidRDefault="00A47254" w:rsidP="00A47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18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Глюкометр</w:t>
            </w:r>
            <w:proofErr w:type="spellEnd"/>
          </w:p>
        </w:tc>
        <w:tc>
          <w:tcPr>
            <w:tcW w:w="2268" w:type="dxa"/>
          </w:tcPr>
          <w:p w14:paraId="66DD617B" w14:textId="6695B1B3" w:rsidR="00A47254" w:rsidRPr="00F4189E" w:rsidRDefault="00A47254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1100</w:t>
            </w:r>
          </w:p>
        </w:tc>
        <w:tc>
          <w:tcPr>
            <w:tcW w:w="2268" w:type="dxa"/>
          </w:tcPr>
          <w:p w14:paraId="55F18DC4" w14:textId="2EFB1C12" w:rsidR="00A47254" w:rsidRPr="00F4189E" w:rsidRDefault="004C72FD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1021</w:t>
            </w:r>
          </w:p>
        </w:tc>
        <w:tc>
          <w:tcPr>
            <w:tcW w:w="1985" w:type="dxa"/>
          </w:tcPr>
          <w:p w14:paraId="2ED86921" w14:textId="75FCDF0C" w:rsidR="00A47254" w:rsidRPr="00F4189E" w:rsidRDefault="004C72FD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-79</w:t>
            </w:r>
          </w:p>
        </w:tc>
      </w:tr>
      <w:tr w:rsidR="00A47254" w:rsidRPr="00F4189E" w14:paraId="56F732D4" w14:textId="77777777" w:rsidTr="00FD2099">
        <w:tc>
          <w:tcPr>
            <w:tcW w:w="2943" w:type="dxa"/>
          </w:tcPr>
          <w:p w14:paraId="7471FD85" w14:textId="77777777" w:rsidR="00A47254" w:rsidRPr="00F4189E" w:rsidRDefault="00A47254" w:rsidP="00A47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Тонометр</w:t>
            </w:r>
          </w:p>
        </w:tc>
        <w:tc>
          <w:tcPr>
            <w:tcW w:w="2268" w:type="dxa"/>
          </w:tcPr>
          <w:p w14:paraId="5417C5AF" w14:textId="17CF0901" w:rsidR="00A47254" w:rsidRPr="00F4189E" w:rsidRDefault="00A47254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40939</w:t>
            </w:r>
          </w:p>
        </w:tc>
        <w:tc>
          <w:tcPr>
            <w:tcW w:w="2268" w:type="dxa"/>
          </w:tcPr>
          <w:p w14:paraId="2F07B9D8" w14:textId="15F7C2A7" w:rsidR="00A47254" w:rsidRPr="00F4189E" w:rsidRDefault="004C72FD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41366</w:t>
            </w:r>
          </w:p>
        </w:tc>
        <w:tc>
          <w:tcPr>
            <w:tcW w:w="1985" w:type="dxa"/>
          </w:tcPr>
          <w:p w14:paraId="56716331" w14:textId="0B8A1ABE" w:rsidR="00A47254" w:rsidRPr="00F4189E" w:rsidRDefault="004C72FD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+427</w:t>
            </w:r>
          </w:p>
        </w:tc>
      </w:tr>
      <w:tr w:rsidR="00A47254" w:rsidRPr="00F4189E" w14:paraId="1BD0901C" w14:textId="77777777" w:rsidTr="00FD2099">
        <w:tc>
          <w:tcPr>
            <w:tcW w:w="2943" w:type="dxa"/>
          </w:tcPr>
          <w:p w14:paraId="6465DBA9" w14:textId="77777777" w:rsidR="00A47254" w:rsidRPr="00F4189E" w:rsidRDefault="00A47254" w:rsidP="00A47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18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Отоофтальмоскоп</w:t>
            </w:r>
            <w:proofErr w:type="spellEnd"/>
          </w:p>
        </w:tc>
        <w:tc>
          <w:tcPr>
            <w:tcW w:w="2268" w:type="dxa"/>
          </w:tcPr>
          <w:p w14:paraId="32A8CAC5" w14:textId="7C993131" w:rsidR="00A47254" w:rsidRPr="00F4189E" w:rsidRDefault="00A47254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2268" w:type="dxa"/>
          </w:tcPr>
          <w:p w14:paraId="1077C262" w14:textId="0303663B" w:rsidR="00A47254" w:rsidRPr="00F4189E" w:rsidRDefault="004C72FD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1985" w:type="dxa"/>
          </w:tcPr>
          <w:p w14:paraId="5D68E2C5" w14:textId="58FB1857" w:rsidR="00A47254" w:rsidRPr="00F4189E" w:rsidRDefault="004C72FD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+13</w:t>
            </w:r>
          </w:p>
        </w:tc>
      </w:tr>
      <w:tr w:rsidR="00A47254" w:rsidRPr="00F4189E" w14:paraId="543DEAF0" w14:textId="77777777" w:rsidTr="00FD2099">
        <w:tc>
          <w:tcPr>
            <w:tcW w:w="2943" w:type="dxa"/>
          </w:tcPr>
          <w:p w14:paraId="2B355545" w14:textId="77777777" w:rsidR="00A47254" w:rsidRPr="00F4189E" w:rsidRDefault="00A47254" w:rsidP="00A47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18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Пульсоксиметр</w:t>
            </w:r>
            <w:proofErr w:type="spellEnd"/>
          </w:p>
        </w:tc>
        <w:tc>
          <w:tcPr>
            <w:tcW w:w="2268" w:type="dxa"/>
          </w:tcPr>
          <w:p w14:paraId="3814FC67" w14:textId="1C013018" w:rsidR="00A47254" w:rsidRPr="00F4189E" w:rsidRDefault="00A47254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34996</w:t>
            </w:r>
          </w:p>
        </w:tc>
        <w:tc>
          <w:tcPr>
            <w:tcW w:w="2268" w:type="dxa"/>
          </w:tcPr>
          <w:p w14:paraId="1823C813" w14:textId="5B31FE9F" w:rsidR="00A47254" w:rsidRPr="00F4189E" w:rsidRDefault="004C72FD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34675</w:t>
            </w:r>
          </w:p>
        </w:tc>
        <w:tc>
          <w:tcPr>
            <w:tcW w:w="1985" w:type="dxa"/>
          </w:tcPr>
          <w:p w14:paraId="2FBF2D69" w14:textId="3AEB4732" w:rsidR="00A47254" w:rsidRPr="00F4189E" w:rsidRDefault="004C72FD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-321</w:t>
            </w:r>
          </w:p>
        </w:tc>
      </w:tr>
      <w:tr w:rsidR="00A47254" w:rsidRPr="00F4189E" w14:paraId="7BE9276D" w14:textId="77777777" w:rsidTr="00FD2099">
        <w:tc>
          <w:tcPr>
            <w:tcW w:w="2943" w:type="dxa"/>
          </w:tcPr>
          <w:p w14:paraId="666AD233" w14:textId="77777777" w:rsidR="00A47254" w:rsidRPr="00F4189E" w:rsidRDefault="00A47254" w:rsidP="00A47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Спірометр</w:t>
            </w:r>
          </w:p>
        </w:tc>
        <w:tc>
          <w:tcPr>
            <w:tcW w:w="2268" w:type="dxa"/>
          </w:tcPr>
          <w:p w14:paraId="2B0EE6A4" w14:textId="749ED5F8" w:rsidR="00A47254" w:rsidRPr="00F4189E" w:rsidRDefault="00A47254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14:paraId="75B2DB92" w14:textId="6F17197C" w:rsidR="00A47254" w:rsidRPr="00F4189E" w:rsidRDefault="004C72FD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85" w:type="dxa"/>
          </w:tcPr>
          <w:p w14:paraId="699E6081" w14:textId="11A73D9F" w:rsidR="00A47254" w:rsidRPr="00F4189E" w:rsidRDefault="004C72FD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+1</w:t>
            </w:r>
          </w:p>
        </w:tc>
      </w:tr>
      <w:tr w:rsidR="00A47254" w:rsidRPr="00F4189E" w14:paraId="411500C5" w14:textId="77777777" w:rsidTr="00FD2099">
        <w:tc>
          <w:tcPr>
            <w:tcW w:w="2943" w:type="dxa"/>
          </w:tcPr>
          <w:p w14:paraId="3A9A7663" w14:textId="77777777" w:rsidR="00A47254" w:rsidRPr="00F4189E" w:rsidRDefault="00A47254" w:rsidP="00A47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аналіз крові</w:t>
            </w:r>
          </w:p>
        </w:tc>
        <w:tc>
          <w:tcPr>
            <w:tcW w:w="2268" w:type="dxa"/>
          </w:tcPr>
          <w:p w14:paraId="52BC7C1F" w14:textId="0C836F5A" w:rsidR="00A47254" w:rsidRPr="00F4189E" w:rsidRDefault="00A47254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9323</w:t>
            </w:r>
          </w:p>
        </w:tc>
        <w:tc>
          <w:tcPr>
            <w:tcW w:w="2268" w:type="dxa"/>
          </w:tcPr>
          <w:p w14:paraId="23F28808" w14:textId="4460C719" w:rsidR="00A47254" w:rsidRPr="00F4189E" w:rsidRDefault="004C72FD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7670</w:t>
            </w:r>
          </w:p>
        </w:tc>
        <w:tc>
          <w:tcPr>
            <w:tcW w:w="1985" w:type="dxa"/>
          </w:tcPr>
          <w:p w14:paraId="2A595B6C" w14:textId="21DEA62E" w:rsidR="00A47254" w:rsidRPr="00F4189E" w:rsidRDefault="004C72FD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-1332</w:t>
            </w:r>
          </w:p>
        </w:tc>
      </w:tr>
      <w:tr w:rsidR="00A47254" w:rsidRPr="00F4189E" w14:paraId="573FEAB1" w14:textId="77777777" w:rsidTr="00FD2099">
        <w:tc>
          <w:tcPr>
            <w:tcW w:w="2943" w:type="dxa"/>
          </w:tcPr>
          <w:p w14:paraId="5DCB6ACB" w14:textId="77777777" w:rsidR="00A47254" w:rsidRPr="00F4189E" w:rsidRDefault="00A47254" w:rsidP="00A47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аналіз сечі</w:t>
            </w:r>
          </w:p>
        </w:tc>
        <w:tc>
          <w:tcPr>
            <w:tcW w:w="2268" w:type="dxa"/>
          </w:tcPr>
          <w:p w14:paraId="5FCCD6CB" w14:textId="295384AC" w:rsidR="00A47254" w:rsidRPr="00F4189E" w:rsidRDefault="00A47254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6210</w:t>
            </w:r>
          </w:p>
        </w:tc>
        <w:tc>
          <w:tcPr>
            <w:tcW w:w="2268" w:type="dxa"/>
          </w:tcPr>
          <w:p w14:paraId="50591CE9" w14:textId="6C59EBA6" w:rsidR="00A47254" w:rsidRPr="00F4189E" w:rsidRDefault="007412EC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4820</w:t>
            </w:r>
          </w:p>
        </w:tc>
        <w:tc>
          <w:tcPr>
            <w:tcW w:w="1985" w:type="dxa"/>
          </w:tcPr>
          <w:p w14:paraId="05B6F775" w14:textId="7AE9C662" w:rsidR="00A47254" w:rsidRPr="00F4189E" w:rsidRDefault="007412EC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-1390</w:t>
            </w:r>
          </w:p>
        </w:tc>
      </w:tr>
      <w:tr w:rsidR="00A47254" w:rsidRPr="00F4189E" w14:paraId="550B12B8" w14:textId="77777777" w:rsidTr="00FD2099">
        <w:tc>
          <w:tcPr>
            <w:tcW w:w="2943" w:type="dxa"/>
          </w:tcPr>
          <w:p w14:paraId="4A1B6211" w14:textId="77777777" w:rsidR="00A47254" w:rsidRPr="00F4189E" w:rsidRDefault="00A47254" w:rsidP="00A47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Холестерин</w:t>
            </w:r>
          </w:p>
        </w:tc>
        <w:tc>
          <w:tcPr>
            <w:tcW w:w="2268" w:type="dxa"/>
          </w:tcPr>
          <w:p w14:paraId="178DF0E2" w14:textId="04157E13" w:rsidR="00A47254" w:rsidRPr="00F4189E" w:rsidRDefault="00A47254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5491</w:t>
            </w:r>
          </w:p>
        </w:tc>
        <w:tc>
          <w:tcPr>
            <w:tcW w:w="2268" w:type="dxa"/>
          </w:tcPr>
          <w:p w14:paraId="3B5EC540" w14:textId="492C422C" w:rsidR="00A47254" w:rsidRPr="00F4189E" w:rsidRDefault="007412EC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5143</w:t>
            </w:r>
          </w:p>
        </w:tc>
        <w:tc>
          <w:tcPr>
            <w:tcW w:w="1985" w:type="dxa"/>
          </w:tcPr>
          <w:p w14:paraId="3DC1F61A" w14:textId="16D225A0" w:rsidR="00A47254" w:rsidRPr="00F4189E" w:rsidRDefault="007412EC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-348</w:t>
            </w:r>
          </w:p>
        </w:tc>
      </w:tr>
      <w:tr w:rsidR="00A47254" w:rsidRPr="00F4189E" w14:paraId="5272D3ED" w14:textId="77777777" w:rsidTr="00FD2099">
        <w:tc>
          <w:tcPr>
            <w:tcW w:w="2943" w:type="dxa"/>
          </w:tcPr>
          <w:p w14:paraId="24D9FD6E" w14:textId="77777777" w:rsidR="00A47254" w:rsidRPr="00F4189E" w:rsidRDefault="00A47254" w:rsidP="00A47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Глюкоза</w:t>
            </w:r>
          </w:p>
        </w:tc>
        <w:tc>
          <w:tcPr>
            <w:tcW w:w="2268" w:type="dxa"/>
          </w:tcPr>
          <w:p w14:paraId="59DC1D9B" w14:textId="47924C3C" w:rsidR="00A47254" w:rsidRPr="00F4189E" w:rsidRDefault="00A47254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5492</w:t>
            </w:r>
          </w:p>
        </w:tc>
        <w:tc>
          <w:tcPr>
            <w:tcW w:w="2268" w:type="dxa"/>
          </w:tcPr>
          <w:p w14:paraId="6C68A96F" w14:textId="79133474" w:rsidR="00A47254" w:rsidRPr="00F4189E" w:rsidRDefault="007412EC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5143</w:t>
            </w:r>
          </w:p>
        </w:tc>
        <w:tc>
          <w:tcPr>
            <w:tcW w:w="1985" w:type="dxa"/>
          </w:tcPr>
          <w:p w14:paraId="0638F745" w14:textId="0A2FBB49" w:rsidR="00A47254" w:rsidRPr="00F4189E" w:rsidRDefault="007412EC" w:rsidP="00A472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18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-349</w:t>
            </w:r>
          </w:p>
        </w:tc>
      </w:tr>
    </w:tbl>
    <w:p w14:paraId="1A391E57" w14:textId="77777777" w:rsidR="003801E8" w:rsidRPr="00F4189E" w:rsidRDefault="003801E8" w:rsidP="00E46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4DB105" w14:textId="459365D2" w:rsidR="003801E8" w:rsidRPr="00F4189E" w:rsidRDefault="003801E8" w:rsidP="00E46F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189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Впродовж </w:t>
      </w:r>
      <w:r w:rsidR="00FF7386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І кварталу 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246678" w:rsidRPr="00F4189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року проведено </w:t>
      </w:r>
      <w:r w:rsidR="00246678" w:rsidRPr="00F4189E">
        <w:rPr>
          <w:rFonts w:ascii="Times New Roman" w:hAnsi="Times New Roman" w:cs="Times New Roman"/>
          <w:sz w:val="24"/>
          <w:szCs w:val="24"/>
          <w:lang w:val="uk-UA"/>
        </w:rPr>
        <w:t>23535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лабораторних аналізів</w:t>
      </w:r>
      <w:r w:rsidR="00FF7386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(І квартал 202</w:t>
      </w:r>
      <w:r w:rsidR="00246678" w:rsidRPr="00F4189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F7386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року – 27</w:t>
      </w:r>
      <w:r w:rsidR="00246678" w:rsidRPr="00F4189E">
        <w:rPr>
          <w:rFonts w:ascii="Times New Roman" w:hAnsi="Times New Roman" w:cs="Times New Roman"/>
          <w:sz w:val="24"/>
          <w:szCs w:val="24"/>
          <w:lang w:val="uk-UA"/>
        </w:rPr>
        <w:t>793</w:t>
      </w:r>
      <w:r w:rsidR="00FF7386" w:rsidRPr="00F4189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,  у тому числі загально клінічних – </w:t>
      </w:r>
      <w:r w:rsidR="00246678" w:rsidRPr="00F4189E">
        <w:rPr>
          <w:rFonts w:ascii="Times New Roman" w:hAnsi="Times New Roman" w:cs="Times New Roman"/>
          <w:sz w:val="24"/>
          <w:szCs w:val="24"/>
          <w:lang w:val="uk-UA"/>
        </w:rPr>
        <w:t>4820</w:t>
      </w:r>
      <w:r w:rsidR="00FF7386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(І квартал 202</w:t>
      </w:r>
      <w:r w:rsidR="00246678" w:rsidRPr="00F4189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F7386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року – </w:t>
      </w:r>
      <w:r w:rsidR="00246678" w:rsidRPr="00F4189E">
        <w:rPr>
          <w:rFonts w:ascii="Times New Roman" w:hAnsi="Times New Roman" w:cs="Times New Roman"/>
          <w:sz w:val="24"/>
          <w:szCs w:val="24"/>
          <w:lang w:val="uk-UA"/>
        </w:rPr>
        <w:t>6210</w:t>
      </w:r>
      <w:r w:rsidR="00FF7386" w:rsidRPr="00F4189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46678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гематологічних – 8429 (І квартал 2025 року - ), 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біохімічних – </w:t>
      </w:r>
      <w:r w:rsidR="00246678" w:rsidRPr="00F4189E">
        <w:rPr>
          <w:rFonts w:ascii="Times New Roman" w:hAnsi="Times New Roman" w:cs="Times New Roman"/>
          <w:sz w:val="24"/>
          <w:szCs w:val="24"/>
          <w:lang w:val="uk-UA"/>
        </w:rPr>
        <w:t>10286</w:t>
      </w:r>
      <w:r w:rsidR="00FF7386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(І квартал 202</w:t>
      </w:r>
      <w:r w:rsidR="00246678" w:rsidRPr="00F4189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F7386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року – </w:t>
      </w:r>
      <w:r w:rsidR="002574E5" w:rsidRPr="00F4189E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246678" w:rsidRPr="00F4189E">
        <w:rPr>
          <w:rFonts w:ascii="Times New Roman" w:hAnsi="Times New Roman" w:cs="Times New Roman"/>
          <w:sz w:val="24"/>
          <w:szCs w:val="24"/>
          <w:lang w:val="uk-UA"/>
        </w:rPr>
        <w:t>983</w:t>
      </w:r>
      <w:r w:rsidR="00FF7386" w:rsidRPr="00F4189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Pr="00F4189E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. глюкоза – </w:t>
      </w:r>
      <w:r w:rsidR="00246678" w:rsidRPr="00F4189E">
        <w:rPr>
          <w:rFonts w:ascii="Times New Roman" w:hAnsi="Times New Roman" w:cs="Times New Roman"/>
          <w:sz w:val="24"/>
          <w:szCs w:val="24"/>
          <w:lang w:val="uk-UA"/>
        </w:rPr>
        <w:t>5143</w:t>
      </w:r>
      <w:r w:rsidR="002574E5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(І квартал 202</w:t>
      </w:r>
      <w:r w:rsidR="00246678" w:rsidRPr="00F4189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2574E5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року – </w:t>
      </w:r>
      <w:r w:rsidR="00246678" w:rsidRPr="00F4189E">
        <w:rPr>
          <w:rFonts w:ascii="Times New Roman" w:hAnsi="Times New Roman" w:cs="Times New Roman"/>
          <w:sz w:val="24"/>
          <w:szCs w:val="24"/>
          <w:lang w:val="uk-UA"/>
        </w:rPr>
        <w:t>6492</w:t>
      </w:r>
      <w:r w:rsidR="002574E5" w:rsidRPr="00F4189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, холестерин – </w:t>
      </w:r>
      <w:r w:rsidR="00246678" w:rsidRPr="00F4189E">
        <w:rPr>
          <w:rFonts w:ascii="Times New Roman" w:hAnsi="Times New Roman" w:cs="Times New Roman"/>
          <w:sz w:val="24"/>
          <w:szCs w:val="24"/>
          <w:lang w:val="uk-UA"/>
        </w:rPr>
        <w:t>5143</w:t>
      </w:r>
      <w:r w:rsidR="002574E5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(І квартал 202</w:t>
      </w:r>
      <w:r w:rsidR="00246678" w:rsidRPr="00F4189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2574E5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року - </w:t>
      </w:r>
      <w:r w:rsidR="00246678" w:rsidRPr="00F4189E">
        <w:rPr>
          <w:rFonts w:ascii="Times New Roman" w:hAnsi="Times New Roman" w:cs="Times New Roman"/>
          <w:sz w:val="24"/>
          <w:szCs w:val="24"/>
          <w:lang w:val="uk-UA"/>
        </w:rPr>
        <w:t>5491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), та аналізів сечі загальних – </w:t>
      </w:r>
      <w:r w:rsidR="00246678" w:rsidRPr="00F4189E">
        <w:rPr>
          <w:rFonts w:ascii="Times New Roman" w:hAnsi="Times New Roman" w:cs="Times New Roman"/>
          <w:sz w:val="24"/>
          <w:szCs w:val="24"/>
          <w:lang w:val="uk-UA"/>
        </w:rPr>
        <w:t>4820</w:t>
      </w:r>
      <w:r w:rsidR="002574E5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(І квартал 202</w:t>
      </w:r>
      <w:r w:rsidR="00246678" w:rsidRPr="00F4189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2574E5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року – </w:t>
      </w:r>
      <w:r w:rsidR="00246678" w:rsidRPr="00F4189E">
        <w:rPr>
          <w:rFonts w:ascii="Times New Roman" w:hAnsi="Times New Roman" w:cs="Times New Roman"/>
          <w:sz w:val="24"/>
          <w:szCs w:val="24"/>
          <w:lang w:val="uk-UA"/>
        </w:rPr>
        <w:t>6210</w:t>
      </w:r>
      <w:r w:rsidR="002574E5" w:rsidRPr="00F4189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6B8CD63E" w14:textId="33417D38" w:rsidR="003801E8" w:rsidRPr="00F4189E" w:rsidRDefault="003801E8" w:rsidP="00E46F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Кількість досліджень на 100 відвідувань в поліклініку становить </w:t>
      </w:r>
      <w:r w:rsidR="00246678" w:rsidRPr="00F4189E">
        <w:rPr>
          <w:rFonts w:ascii="Times New Roman" w:hAnsi="Times New Roman" w:cs="Times New Roman"/>
          <w:sz w:val="24"/>
          <w:szCs w:val="24"/>
          <w:lang w:val="uk-UA"/>
        </w:rPr>
        <w:t>40,0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2574E5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І квартал 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246678" w:rsidRPr="00F4189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року – </w:t>
      </w:r>
      <w:r w:rsidR="00246678" w:rsidRPr="00F4189E">
        <w:rPr>
          <w:rFonts w:ascii="Times New Roman" w:hAnsi="Times New Roman" w:cs="Times New Roman"/>
          <w:sz w:val="24"/>
          <w:szCs w:val="24"/>
          <w:lang w:val="uk-UA"/>
        </w:rPr>
        <w:t>35,6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%). Питома вага біохімічних досліджень складає – </w:t>
      </w:r>
      <w:r w:rsidR="00246678" w:rsidRPr="00F4189E">
        <w:rPr>
          <w:rFonts w:ascii="Times New Roman" w:hAnsi="Times New Roman" w:cs="Times New Roman"/>
          <w:sz w:val="24"/>
          <w:szCs w:val="24"/>
          <w:lang w:val="uk-UA"/>
        </w:rPr>
        <w:t>43,7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>% (</w:t>
      </w:r>
      <w:r w:rsidR="002574E5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І квартал 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246678" w:rsidRPr="00F4189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року – </w:t>
      </w:r>
      <w:r w:rsidR="00246678" w:rsidRPr="00F4189E">
        <w:rPr>
          <w:rFonts w:ascii="Times New Roman" w:hAnsi="Times New Roman" w:cs="Times New Roman"/>
          <w:sz w:val="24"/>
          <w:szCs w:val="24"/>
          <w:lang w:val="uk-UA"/>
        </w:rPr>
        <w:t>39,5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>%).</w:t>
      </w:r>
    </w:p>
    <w:p w14:paraId="15040907" w14:textId="61FA64E7" w:rsidR="003801E8" w:rsidRPr="00F4189E" w:rsidRDefault="003801E8" w:rsidP="00E46F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Проведено </w:t>
      </w:r>
      <w:r w:rsidR="00246678" w:rsidRPr="00F4189E">
        <w:rPr>
          <w:rFonts w:ascii="Times New Roman" w:hAnsi="Times New Roman" w:cs="Times New Roman"/>
          <w:sz w:val="24"/>
          <w:szCs w:val="24"/>
          <w:lang w:val="uk-UA"/>
        </w:rPr>
        <w:t>257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швидких тест</w:t>
      </w:r>
      <w:r w:rsidR="00246678" w:rsidRPr="00F4189E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на гепатит «В», із них позитивних – </w:t>
      </w:r>
      <w:r w:rsidR="00246678" w:rsidRPr="00F4189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; на гепатит «С» - </w:t>
      </w:r>
      <w:r w:rsidR="00246678" w:rsidRPr="00F4189E">
        <w:rPr>
          <w:rFonts w:ascii="Times New Roman" w:hAnsi="Times New Roman" w:cs="Times New Roman"/>
          <w:sz w:val="24"/>
          <w:szCs w:val="24"/>
          <w:lang w:val="uk-UA"/>
        </w:rPr>
        <w:t>257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, із них позитивних – </w:t>
      </w:r>
      <w:r w:rsidR="00246678" w:rsidRPr="00F4189E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2574E5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І квартал 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246678" w:rsidRPr="00F4189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2574E5" w:rsidRPr="00F4189E">
        <w:rPr>
          <w:rFonts w:ascii="Times New Roman" w:hAnsi="Times New Roman" w:cs="Times New Roman"/>
          <w:sz w:val="24"/>
          <w:szCs w:val="24"/>
          <w:lang w:val="uk-UA"/>
        </w:rPr>
        <w:t>оку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гепатит «В»/«С»  – </w:t>
      </w:r>
      <w:r w:rsidR="00246678" w:rsidRPr="00F4189E">
        <w:rPr>
          <w:rFonts w:ascii="Times New Roman" w:hAnsi="Times New Roman" w:cs="Times New Roman"/>
          <w:sz w:val="24"/>
          <w:szCs w:val="24"/>
          <w:lang w:val="uk-UA"/>
        </w:rPr>
        <w:t>296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246678" w:rsidRPr="00F4189E">
        <w:rPr>
          <w:rFonts w:ascii="Times New Roman" w:hAnsi="Times New Roman" w:cs="Times New Roman"/>
          <w:sz w:val="24"/>
          <w:szCs w:val="24"/>
          <w:lang w:val="uk-UA"/>
        </w:rPr>
        <w:t>296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, з них позитивних – </w:t>
      </w:r>
      <w:r w:rsidR="002574E5" w:rsidRPr="00F4189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2574E5" w:rsidRPr="00F4189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246678" w:rsidRPr="00F4189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відповідно).</w:t>
      </w:r>
    </w:p>
    <w:p w14:paraId="64BBABC2" w14:textId="77777777" w:rsidR="001069DA" w:rsidRPr="00F4189E" w:rsidRDefault="001069DA" w:rsidP="001069DA">
      <w:pPr>
        <w:pStyle w:val="Standard"/>
        <w:tabs>
          <w:tab w:val="left" w:pos="5600"/>
          <w:tab w:val="left" w:pos="5650"/>
          <w:tab w:val="left" w:pos="6367"/>
        </w:tabs>
        <w:spacing w:line="276" w:lineRule="auto"/>
        <w:ind w:firstLine="567"/>
        <w:jc w:val="both"/>
        <w:rPr>
          <w:rFonts w:ascii="Times New Roman" w:hAnsi="Times New Roman"/>
          <w:bCs/>
          <w:lang w:val="uk-UA"/>
        </w:rPr>
      </w:pPr>
      <w:r w:rsidRPr="00F4189E">
        <w:rPr>
          <w:rFonts w:ascii="Times New Roman" w:hAnsi="Times New Roman"/>
          <w:bCs/>
          <w:lang w:val="uk-UA"/>
        </w:rPr>
        <w:t>Впродовж січня-березня 2026 року було проведено 324  експрес-тестів на ВІЛ/СНІД, з них дорослим – 291, дітям віком від 0-18 років – 33. Позитивних (серед дорослих) - 3. Із загальної кількості обстежено ВПО – 14. (січень-березень 2025 року – 289 експрес-тестів на ВІЛ/СНІД, з них дорослим – 274, дітям віком від 0-18 років – 15. Позитивних - 3. Із загальної кількості обстежено ВПО – 9)</w:t>
      </w:r>
    </w:p>
    <w:p w14:paraId="2E534059" w14:textId="2A171DC4" w:rsidR="003801E8" w:rsidRPr="00F4189E" w:rsidRDefault="003801E8" w:rsidP="00E46F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В кабінетах функціональної діагностики за </w:t>
      </w:r>
      <w:r w:rsidR="00B912B1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І квартал 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781D7C" w:rsidRPr="00F4189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B912B1" w:rsidRPr="00F4189E">
        <w:rPr>
          <w:rFonts w:ascii="Times New Roman" w:hAnsi="Times New Roman" w:cs="Times New Roman"/>
          <w:sz w:val="24"/>
          <w:szCs w:val="24"/>
          <w:lang w:val="uk-UA"/>
        </w:rPr>
        <w:t>оку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проведено </w:t>
      </w:r>
      <w:r w:rsidR="00781D7C" w:rsidRPr="00F4189E">
        <w:rPr>
          <w:rFonts w:ascii="Times New Roman" w:hAnsi="Times New Roman" w:cs="Times New Roman"/>
          <w:sz w:val="24"/>
          <w:szCs w:val="24"/>
          <w:lang w:val="uk-UA"/>
        </w:rPr>
        <w:t>3853</w:t>
      </w:r>
      <w:r w:rsidR="00B912B1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4189E">
        <w:rPr>
          <w:rFonts w:ascii="Times New Roman" w:hAnsi="Times New Roman" w:cs="Times New Roman"/>
          <w:sz w:val="24"/>
          <w:szCs w:val="24"/>
          <w:lang w:val="uk-UA"/>
        </w:rPr>
        <w:t>електрокардіографій</w:t>
      </w:r>
      <w:proofErr w:type="spellEnd"/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B912B1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І квартал 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781D7C" w:rsidRPr="00F4189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B912B1" w:rsidRPr="00F4189E">
        <w:rPr>
          <w:rFonts w:ascii="Times New Roman" w:hAnsi="Times New Roman" w:cs="Times New Roman"/>
          <w:sz w:val="24"/>
          <w:szCs w:val="24"/>
          <w:lang w:val="uk-UA"/>
        </w:rPr>
        <w:t>оку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781D7C" w:rsidRPr="00F4189E">
        <w:rPr>
          <w:rFonts w:ascii="Times New Roman" w:hAnsi="Times New Roman" w:cs="Times New Roman"/>
          <w:sz w:val="24"/>
          <w:szCs w:val="24"/>
          <w:lang w:val="uk-UA"/>
        </w:rPr>
        <w:t>5036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). Число функціональних обстежень на 10000 населення склало </w:t>
      </w:r>
      <w:r w:rsidR="00781D7C" w:rsidRPr="00F4189E">
        <w:rPr>
          <w:rFonts w:ascii="Times New Roman" w:hAnsi="Times New Roman" w:cs="Times New Roman"/>
          <w:sz w:val="24"/>
          <w:szCs w:val="24"/>
          <w:lang w:val="uk-UA"/>
        </w:rPr>
        <w:t>1248,3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B912B1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І квартал 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781D7C" w:rsidRPr="00F4189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B912B1" w:rsidRPr="00F4189E">
        <w:rPr>
          <w:rFonts w:ascii="Times New Roman" w:hAnsi="Times New Roman" w:cs="Times New Roman"/>
          <w:sz w:val="24"/>
          <w:szCs w:val="24"/>
          <w:lang w:val="uk-UA"/>
        </w:rPr>
        <w:t>оку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781D7C" w:rsidRPr="00F4189E">
        <w:rPr>
          <w:rFonts w:ascii="Times New Roman" w:hAnsi="Times New Roman" w:cs="Times New Roman"/>
          <w:sz w:val="24"/>
          <w:szCs w:val="24"/>
          <w:lang w:val="uk-UA"/>
        </w:rPr>
        <w:t>592,8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), на 100 відвідувань в поліклініку – </w:t>
      </w:r>
      <w:r w:rsidR="00B912B1" w:rsidRPr="00F4189E">
        <w:rPr>
          <w:rFonts w:ascii="Times New Roman" w:hAnsi="Times New Roman" w:cs="Times New Roman"/>
          <w:sz w:val="24"/>
          <w:szCs w:val="24"/>
          <w:lang w:val="uk-UA"/>
        </w:rPr>
        <w:t>6,5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B912B1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І квартал 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781D7C" w:rsidRPr="00F4189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12B1" w:rsidRPr="00F4189E">
        <w:rPr>
          <w:rFonts w:ascii="Times New Roman" w:hAnsi="Times New Roman" w:cs="Times New Roman"/>
          <w:sz w:val="24"/>
          <w:szCs w:val="24"/>
          <w:lang w:val="uk-UA"/>
        </w:rPr>
        <w:t>року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781D7C" w:rsidRPr="00F4189E">
        <w:rPr>
          <w:rFonts w:ascii="Times New Roman" w:hAnsi="Times New Roman" w:cs="Times New Roman"/>
          <w:sz w:val="24"/>
          <w:szCs w:val="24"/>
          <w:lang w:val="uk-UA"/>
        </w:rPr>
        <w:t>6,5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4AD861EF" w14:textId="31545913" w:rsidR="00E94AD3" w:rsidRPr="00F4189E" w:rsidRDefault="003801E8" w:rsidP="00E46F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В стаціонарах вдома проліковано </w:t>
      </w:r>
      <w:r w:rsidR="005B0B65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12 осіб, проведено 119 ліжко/днів, що на 33,3% менше ніж за аналогічний період минулого року – проліковано </w:t>
      </w:r>
      <w:r w:rsidR="00B912B1" w:rsidRPr="00F4189E">
        <w:rPr>
          <w:rFonts w:ascii="Times New Roman" w:hAnsi="Times New Roman" w:cs="Times New Roman"/>
          <w:sz w:val="24"/>
          <w:szCs w:val="24"/>
          <w:lang w:val="uk-UA"/>
        </w:rPr>
        <w:t>18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осіб, проведено </w:t>
      </w:r>
      <w:r w:rsidR="00B912B1" w:rsidRPr="00F4189E">
        <w:rPr>
          <w:rFonts w:ascii="Times New Roman" w:hAnsi="Times New Roman" w:cs="Times New Roman"/>
          <w:sz w:val="24"/>
          <w:szCs w:val="24"/>
          <w:lang w:val="uk-UA"/>
        </w:rPr>
        <w:t>191</w:t>
      </w:r>
      <w:r w:rsidR="00D1798B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>ліжко/д</w:t>
      </w:r>
      <w:r w:rsidR="00B912B1" w:rsidRPr="00F4189E">
        <w:rPr>
          <w:rFonts w:ascii="Times New Roman" w:hAnsi="Times New Roman" w:cs="Times New Roman"/>
          <w:sz w:val="24"/>
          <w:szCs w:val="24"/>
          <w:lang w:val="uk-UA"/>
        </w:rPr>
        <w:t>ен</w:t>
      </w:r>
      <w:r w:rsidR="00DC792C" w:rsidRPr="00F4189E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5B0B65" w:rsidRPr="00F4189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C792C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A31F23A" w14:textId="5CD268EA" w:rsidR="00CC6DDD" w:rsidRPr="00F4189E" w:rsidRDefault="00913B4B" w:rsidP="00E46F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Показник поширеності захворювань </w:t>
      </w:r>
      <w:r w:rsidRPr="00F4189E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серед всього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F1DAE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обслуговує мого (задекларованого)</w:t>
      </w:r>
      <w:r w:rsidR="006D2333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населення, яке уклало декларації з лікарями закладу, (а саме </w:t>
      </w:r>
      <w:r w:rsidR="005B0B65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80106</w:t>
      </w:r>
      <w:r w:rsidR="00B912B1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пацієнтів) </w:t>
      </w:r>
      <w:r w:rsidR="005C363F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за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912B1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І квартал 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202</w:t>
      </w:r>
      <w:r w:rsidR="008E6C7F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</w:t>
      </w:r>
      <w:r w:rsidR="00B912B1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оку</w:t>
      </w:r>
      <w:r w:rsidR="00842109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становить </w:t>
      </w:r>
      <w:r w:rsidR="008E6C7F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39307,9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100 тисяч населення проти </w:t>
      </w:r>
      <w:r w:rsidR="008E6C7F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42389,8</w:t>
      </w:r>
      <w:r w:rsidR="00F13F61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І квартал 2025 року</w:t>
      </w:r>
      <w:r w:rsidR="00B912B1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(кількість декларацій – </w:t>
      </w:r>
      <w:r w:rsidR="008E6C7F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84952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), тобто </w:t>
      </w:r>
      <w:r w:rsidR="008E6C7F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зменшилась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</w:t>
      </w:r>
      <w:r w:rsidR="00EF5527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7</w:t>
      </w:r>
      <w:r w:rsidR="003B7B4C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8E6C7F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27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%. </w:t>
      </w:r>
    </w:p>
    <w:p w14:paraId="19268433" w14:textId="133D894D" w:rsidR="0030110D" w:rsidRPr="00F4189E" w:rsidRDefault="009D0534" w:rsidP="00E46FF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4189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Показник захворюваності </w:t>
      </w:r>
      <w:r w:rsidR="000936D2" w:rsidRPr="00F4189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населення </w:t>
      </w:r>
      <w:r w:rsidRPr="00F4189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діагнозом встановленим вперше в житті </w:t>
      </w:r>
      <w:r w:rsidR="008E6C7F" w:rsidRPr="00F4189E">
        <w:rPr>
          <w:rFonts w:ascii="Times New Roman" w:hAnsi="Times New Roman" w:cs="Times New Roman"/>
          <w:b/>
          <w:sz w:val="24"/>
          <w:szCs w:val="24"/>
          <w:lang w:val="uk-UA"/>
        </w:rPr>
        <w:t>зменшився</w:t>
      </w:r>
      <w:r w:rsidRPr="00F4189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C0850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</w:t>
      </w:r>
      <w:r w:rsidR="008E6C7F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25,2</w:t>
      </w:r>
      <w:r w:rsidR="001C0850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%, тобто з </w:t>
      </w:r>
      <w:r w:rsidR="008E6C7F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13490,0</w:t>
      </w:r>
      <w:r w:rsidR="001C0850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C363F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за</w:t>
      </w:r>
      <w:r w:rsidR="001C0850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F5527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І квартал </w:t>
      </w:r>
      <w:r w:rsidR="001C0850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202</w:t>
      </w:r>
      <w:r w:rsidR="008E6C7F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="001C0850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F5527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року</w:t>
      </w:r>
      <w:r w:rsidR="001C0850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</w:t>
      </w:r>
      <w:r w:rsidR="008E6C7F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10085,4</w:t>
      </w:r>
      <w:r w:rsidR="003B7B4C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</w:t>
      </w:r>
      <w:r w:rsidR="00EF5527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І кварталі </w:t>
      </w:r>
      <w:r w:rsidR="001C0850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202</w:t>
      </w:r>
      <w:r w:rsidR="008E6C7F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="001C0850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</w:t>
      </w:r>
      <w:r w:rsidR="00EF5527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ку</w:t>
      </w:r>
      <w:r w:rsidR="001C0850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(у розрахунку на 100 тисяч </w:t>
      </w:r>
      <w:proofErr w:type="spellStart"/>
      <w:r w:rsidR="00842109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обслуговуємого</w:t>
      </w:r>
      <w:proofErr w:type="spellEnd"/>
      <w:r w:rsidR="00842109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(задекларованого) </w:t>
      </w:r>
      <w:r w:rsidR="001C0850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населення</w:t>
      </w:r>
      <w:r w:rsidR="0030110D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3B7B4C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–</w:t>
      </w:r>
      <w:r w:rsidR="0030110D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4A137B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84952</w:t>
      </w:r>
      <w:r w:rsidR="008E6C7F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</w:t>
      </w:r>
      <w:r w:rsidR="004A137B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80106</w:t>
      </w:r>
      <w:r w:rsidR="008E6C7F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відповідно</w:t>
      </w:r>
      <w:r w:rsidR="00DD46CA"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).</w:t>
      </w:r>
    </w:p>
    <w:p w14:paraId="75AA45EE" w14:textId="325ABB3F" w:rsidR="00822145" w:rsidRPr="00F4189E" w:rsidRDefault="00523486" w:rsidP="00E46F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189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Серед дорослого населення (18 років і старше) показник поширеності  захворювань за </w:t>
      </w:r>
      <w:r w:rsidR="00EF5527" w:rsidRPr="00F4189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 квартал </w:t>
      </w:r>
      <w:r w:rsidRPr="00F4189E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8E6C7F" w:rsidRPr="00F4189E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F4189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</w:t>
      </w:r>
      <w:r w:rsidR="00EF5527" w:rsidRPr="00F4189E">
        <w:rPr>
          <w:rFonts w:ascii="Times New Roman" w:hAnsi="Times New Roman" w:cs="Times New Roman"/>
          <w:b/>
          <w:sz w:val="24"/>
          <w:szCs w:val="24"/>
          <w:lang w:val="uk-UA"/>
        </w:rPr>
        <w:t>оку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становить </w:t>
      </w:r>
      <w:r w:rsidR="008E6C7F" w:rsidRPr="00F4189E">
        <w:rPr>
          <w:rFonts w:ascii="Times New Roman" w:hAnsi="Times New Roman" w:cs="Times New Roman"/>
          <w:sz w:val="24"/>
          <w:szCs w:val="24"/>
          <w:lang w:val="uk-UA"/>
        </w:rPr>
        <w:t>41204,1</w:t>
      </w:r>
      <w:r w:rsidR="0096128A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на 100 тисяч відповідного населення проти </w:t>
      </w:r>
      <w:r w:rsidR="008E6C7F" w:rsidRPr="00F4189E">
        <w:rPr>
          <w:rFonts w:ascii="Times New Roman" w:hAnsi="Times New Roman" w:cs="Times New Roman"/>
          <w:sz w:val="24"/>
          <w:szCs w:val="24"/>
          <w:lang w:val="uk-UA"/>
        </w:rPr>
        <w:t>43716,4</w:t>
      </w:r>
      <w:r w:rsidR="0096128A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0FFF" w:rsidRPr="00F4189E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3A7443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5527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І квартал </w:t>
      </w:r>
      <w:r w:rsidR="0010005C" w:rsidRPr="00F4189E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8E6C7F" w:rsidRPr="00F4189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10005C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EF5527" w:rsidRPr="00F4189E">
        <w:rPr>
          <w:rFonts w:ascii="Times New Roman" w:hAnsi="Times New Roman" w:cs="Times New Roman"/>
          <w:sz w:val="24"/>
          <w:szCs w:val="24"/>
          <w:lang w:val="uk-UA"/>
        </w:rPr>
        <w:t>оку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, або </w:t>
      </w:r>
      <w:r w:rsidR="008E6C7F" w:rsidRPr="00F4189E">
        <w:rPr>
          <w:rFonts w:ascii="Times New Roman" w:hAnsi="Times New Roman" w:cs="Times New Roman"/>
          <w:sz w:val="24"/>
          <w:szCs w:val="24"/>
          <w:lang w:val="uk-UA"/>
        </w:rPr>
        <w:t>зменшився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EF5527" w:rsidRPr="00F4189E">
        <w:rPr>
          <w:rFonts w:ascii="Times New Roman" w:hAnsi="Times New Roman" w:cs="Times New Roman"/>
          <w:sz w:val="24"/>
          <w:szCs w:val="24"/>
          <w:lang w:val="uk-UA"/>
        </w:rPr>
        <w:t>5,</w:t>
      </w:r>
      <w:r w:rsidR="008E6C7F" w:rsidRPr="00F4189E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>%</w:t>
      </w:r>
      <w:r w:rsidR="008E6C7F" w:rsidRPr="00F4189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6128A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049BE83" w14:textId="7071DC0E" w:rsidR="005A0827" w:rsidRPr="00F4189E" w:rsidRDefault="007D5721" w:rsidP="00E46FF4">
      <w:pPr>
        <w:spacing w:after="0" w:line="240" w:lineRule="auto"/>
        <w:ind w:firstLine="68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189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Показник захворюваності з діагнозом встановленим вперше в </w:t>
      </w:r>
      <w:r w:rsidR="00375CF2" w:rsidRPr="00F4189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житті серед дорослого населення </w:t>
      </w:r>
      <w:r w:rsidRPr="00F4189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</w:t>
      </w:r>
      <w:r w:rsidR="00EF5527" w:rsidRPr="00F4189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 квартал </w:t>
      </w:r>
      <w:r w:rsidRPr="00F4189E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8E6C7F" w:rsidRPr="00F4189E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F4189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</w:t>
      </w:r>
      <w:r w:rsidR="00EF5527" w:rsidRPr="00F4189E">
        <w:rPr>
          <w:rFonts w:ascii="Times New Roman" w:hAnsi="Times New Roman" w:cs="Times New Roman"/>
          <w:b/>
          <w:sz w:val="24"/>
          <w:szCs w:val="24"/>
          <w:lang w:val="uk-UA"/>
        </w:rPr>
        <w:t>оку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склав </w:t>
      </w:r>
      <w:r w:rsidR="008E6C7F" w:rsidRPr="00F4189E">
        <w:rPr>
          <w:rFonts w:ascii="Times New Roman" w:hAnsi="Times New Roman" w:cs="Times New Roman"/>
          <w:sz w:val="24"/>
          <w:szCs w:val="24"/>
          <w:lang w:val="uk-UA"/>
        </w:rPr>
        <w:t>5822,9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у розрахунку на 100 т</w:t>
      </w:r>
      <w:r w:rsidR="00523486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исяч задекларованого </w:t>
      </w:r>
      <w:r w:rsidR="004A137B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дорослого </w:t>
      </w:r>
      <w:r w:rsidR="00523486" w:rsidRPr="00F4189E">
        <w:rPr>
          <w:rFonts w:ascii="Times New Roman" w:hAnsi="Times New Roman" w:cs="Times New Roman"/>
          <w:sz w:val="24"/>
          <w:szCs w:val="24"/>
          <w:lang w:val="uk-UA"/>
        </w:rPr>
        <w:t>населення</w:t>
      </w:r>
      <w:r w:rsidR="004A137B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(65741)</w:t>
      </w:r>
      <w:r w:rsidR="00523486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проти </w:t>
      </w:r>
      <w:r w:rsidR="008E6C7F" w:rsidRPr="00F4189E">
        <w:rPr>
          <w:rFonts w:ascii="Times New Roman" w:hAnsi="Times New Roman" w:cs="Times New Roman"/>
          <w:sz w:val="24"/>
          <w:szCs w:val="24"/>
          <w:lang w:val="uk-UA"/>
        </w:rPr>
        <w:t>8156,0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363F" w:rsidRPr="00F4189E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5527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І квартал </w:t>
      </w:r>
      <w:r w:rsidR="00822145" w:rsidRPr="00F4189E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8E6C7F" w:rsidRPr="00F4189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822145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EF5527" w:rsidRPr="00F4189E">
        <w:rPr>
          <w:rFonts w:ascii="Times New Roman" w:hAnsi="Times New Roman" w:cs="Times New Roman"/>
          <w:sz w:val="24"/>
          <w:szCs w:val="24"/>
          <w:lang w:val="uk-UA"/>
        </w:rPr>
        <w:t>оку</w:t>
      </w:r>
      <w:r w:rsidR="004A137B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(68894)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, тобто </w:t>
      </w:r>
      <w:r w:rsidR="008E6C7F" w:rsidRPr="00F4189E">
        <w:rPr>
          <w:rFonts w:ascii="Times New Roman" w:hAnsi="Times New Roman" w:cs="Times New Roman"/>
          <w:sz w:val="24"/>
          <w:szCs w:val="24"/>
          <w:lang w:val="uk-UA"/>
        </w:rPr>
        <w:t>зменшився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8E6C7F" w:rsidRPr="00F4189E">
        <w:rPr>
          <w:rFonts w:ascii="Times New Roman" w:hAnsi="Times New Roman" w:cs="Times New Roman"/>
          <w:sz w:val="24"/>
          <w:szCs w:val="24"/>
          <w:lang w:val="uk-UA"/>
        </w:rPr>
        <w:t>28,6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>%.</w:t>
      </w:r>
    </w:p>
    <w:p w14:paraId="481E7597" w14:textId="3A7D3E76" w:rsidR="00375CF2" w:rsidRPr="00F4189E" w:rsidRDefault="006E297A" w:rsidP="00E46F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Показник </w:t>
      </w:r>
      <w:r w:rsidRPr="00F4189E">
        <w:rPr>
          <w:rFonts w:ascii="Times New Roman" w:hAnsi="Times New Roman" w:cs="Times New Roman"/>
          <w:b/>
          <w:sz w:val="24"/>
          <w:szCs w:val="24"/>
          <w:lang w:val="uk-UA"/>
        </w:rPr>
        <w:t>поширеності захворювань серед дитячого населення віком від 0-17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років </w:t>
      </w:r>
      <w:r w:rsidR="00F13F61" w:rsidRPr="00F4189E">
        <w:rPr>
          <w:rFonts w:ascii="Times New Roman" w:hAnsi="Times New Roman" w:cs="Times New Roman"/>
          <w:sz w:val="24"/>
          <w:szCs w:val="24"/>
          <w:lang w:val="uk-UA"/>
        </w:rPr>
        <w:t>зменшився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F13F61" w:rsidRPr="00F4189E">
        <w:rPr>
          <w:rFonts w:ascii="Times New Roman" w:hAnsi="Times New Roman" w:cs="Times New Roman"/>
          <w:sz w:val="24"/>
          <w:szCs w:val="24"/>
          <w:lang w:val="uk-UA"/>
        </w:rPr>
        <w:t>16,6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%, тобто з </w:t>
      </w:r>
      <w:r w:rsidR="00F13F61" w:rsidRPr="00F4189E">
        <w:rPr>
          <w:rFonts w:ascii="Times New Roman" w:hAnsi="Times New Roman" w:cs="Times New Roman"/>
          <w:sz w:val="24"/>
          <w:szCs w:val="24"/>
          <w:lang w:val="uk-UA"/>
        </w:rPr>
        <w:t>371,9</w:t>
      </w:r>
      <w:r w:rsidR="00375CF2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533E08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5527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І кварталі 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F13F61" w:rsidRPr="00F4189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ро</w:t>
      </w:r>
      <w:r w:rsidR="00EF5527" w:rsidRPr="00F4189E">
        <w:rPr>
          <w:rFonts w:ascii="Times New Roman" w:hAnsi="Times New Roman" w:cs="Times New Roman"/>
          <w:sz w:val="24"/>
          <w:szCs w:val="24"/>
          <w:lang w:val="uk-UA"/>
        </w:rPr>
        <w:t>ку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F13F61" w:rsidRPr="00F4189E">
        <w:rPr>
          <w:rFonts w:ascii="Times New Roman" w:hAnsi="Times New Roman" w:cs="Times New Roman"/>
          <w:sz w:val="24"/>
          <w:szCs w:val="24"/>
          <w:lang w:val="uk-UA"/>
        </w:rPr>
        <w:t>310,1</w:t>
      </w:r>
      <w:r w:rsidR="00375CF2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CF10EE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5527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І кварталі 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F13F61" w:rsidRPr="00F4189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ро</w:t>
      </w:r>
      <w:r w:rsidR="00EF5527" w:rsidRPr="00F4189E">
        <w:rPr>
          <w:rFonts w:ascii="Times New Roman" w:hAnsi="Times New Roman" w:cs="Times New Roman"/>
          <w:sz w:val="24"/>
          <w:szCs w:val="24"/>
          <w:lang w:val="uk-UA"/>
        </w:rPr>
        <w:t>ку</w:t>
      </w:r>
      <w:r w:rsidR="00533E08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(у розрахунку на 10 тисяч 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>задекларованого дитячого населення</w:t>
      </w:r>
      <w:r w:rsidR="00533E08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3F61" w:rsidRPr="00F4189E">
        <w:rPr>
          <w:rFonts w:ascii="Times New Roman" w:hAnsi="Times New Roman" w:cs="Times New Roman"/>
          <w:sz w:val="24"/>
          <w:szCs w:val="24"/>
          <w:lang w:val="uk-UA"/>
        </w:rPr>
        <w:t>15847</w:t>
      </w:r>
      <w:r w:rsidR="00533E08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F13F61" w:rsidRPr="00F4189E">
        <w:rPr>
          <w:rFonts w:ascii="Times New Roman" w:hAnsi="Times New Roman" w:cs="Times New Roman"/>
          <w:sz w:val="24"/>
          <w:szCs w:val="24"/>
          <w:lang w:val="uk-UA"/>
        </w:rPr>
        <w:t>14190</w:t>
      </w:r>
      <w:r w:rsidR="00533E08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</w:p>
    <w:p w14:paraId="5391FF11" w14:textId="7F08399B" w:rsidR="00375CF2" w:rsidRPr="00F4189E" w:rsidRDefault="006E297A" w:rsidP="00E46F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Показник </w:t>
      </w:r>
      <w:r w:rsidRPr="00F4189E">
        <w:rPr>
          <w:rFonts w:ascii="Times New Roman" w:hAnsi="Times New Roman" w:cs="Times New Roman"/>
          <w:b/>
          <w:sz w:val="24"/>
          <w:szCs w:val="24"/>
          <w:lang w:val="uk-UA"/>
        </w:rPr>
        <w:t>захворюваності дитячого населення у віці 0-17 років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137B" w:rsidRPr="00F4189E">
        <w:rPr>
          <w:rFonts w:ascii="Times New Roman" w:hAnsi="Times New Roman" w:cs="Times New Roman"/>
          <w:sz w:val="24"/>
          <w:szCs w:val="24"/>
          <w:lang w:val="uk-UA"/>
        </w:rPr>
        <w:t>зменшився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у показнику на 10 тисяч задекларованого населення з </w:t>
      </w:r>
      <w:r w:rsidR="004A137B" w:rsidRPr="00F4189E">
        <w:rPr>
          <w:rFonts w:ascii="Times New Roman" w:hAnsi="Times New Roman" w:cs="Times New Roman"/>
          <w:sz w:val="24"/>
          <w:szCs w:val="24"/>
          <w:lang w:val="uk-UA"/>
        </w:rPr>
        <w:t>368,6</w:t>
      </w:r>
      <w:r w:rsidR="00BD6E3C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4A137B" w:rsidRPr="00F4189E">
        <w:rPr>
          <w:rFonts w:ascii="Times New Roman" w:hAnsi="Times New Roman" w:cs="Times New Roman"/>
          <w:sz w:val="24"/>
          <w:szCs w:val="24"/>
          <w:lang w:val="uk-UA"/>
        </w:rPr>
        <w:t>299,6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D6E3C" w:rsidRPr="00F4189E">
        <w:rPr>
          <w:rFonts w:ascii="Times New Roman" w:hAnsi="Times New Roman" w:cs="Times New Roman"/>
          <w:sz w:val="24"/>
          <w:szCs w:val="24"/>
          <w:lang w:val="uk-UA"/>
        </w:rPr>
        <w:t>тобто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4A137B" w:rsidRPr="00F4189E">
        <w:rPr>
          <w:rFonts w:ascii="Times New Roman" w:hAnsi="Times New Roman" w:cs="Times New Roman"/>
          <w:sz w:val="24"/>
          <w:szCs w:val="24"/>
          <w:lang w:val="uk-UA"/>
        </w:rPr>
        <w:t>18,7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>%</w:t>
      </w:r>
      <w:r w:rsidR="00545091" w:rsidRPr="00F4189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75CF2"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2F30785" w14:textId="1435B6E9" w:rsidR="00BD6E3C" w:rsidRPr="00F4189E" w:rsidRDefault="004637BD" w:rsidP="00F418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4189E">
        <w:rPr>
          <w:rFonts w:ascii="Times New Roman" w:hAnsi="Times New Roman" w:cs="Times New Roman"/>
          <w:sz w:val="24"/>
          <w:szCs w:val="24"/>
          <w:lang w:val="uk-UA"/>
        </w:rPr>
        <w:t>Рівень</w:t>
      </w:r>
      <w:proofErr w:type="spellEnd"/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4189E">
        <w:rPr>
          <w:rFonts w:ascii="Times New Roman" w:hAnsi="Times New Roman" w:cs="Times New Roman"/>
          <w:sz w:val="24"/>
          <w:szCs w:val="24"/>
          <w:lang w:val="uk-UA"/>
        </w:rPr>
        <w:t>первинної</w:t>
      </w:r>
      <w:proofErr w:type="spellEnd"/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4189E">
        <w:rPr>
          <w:rFonts w:ascii="Times New Roman" w:hAnsi="Times New Roman" w:cs="Times New Roman"/>
          <w:sz w:val="24"/>
          <w:szCs w:val="24"/>
          <w:lang w:val="uk-UA"/>
        </w:rPr>
        <w:t>інвалідності</w:t>
      </w:r>
      <w:proofErr w:type="spellEnd"/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4189E">
        <w:rPr>
          <w:rFonts w:ascii="Times New Roman" w:hAnsi="Times New Roman" w:cs="Times New Roman"/>
          <w:sz w:val="24"/>
          <w:szCs w:val="24"/>
          <w:lang w:val="uk-UA"/>
        </w:rPr>
        <w:t>дитячого</w:t>
      </w:r>
      <w:proofErr w:type="spellEnd"/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4189E">
        <w:rPr>
          <w:rFonts w:ascii="Times New Roman" w:hAnsi="Times New Roman" w:cs="Times New Roman"/>
          <w:sz w:val="24"/>
          <w:szCs w:val="24"/>
          <w:lang w:val="uk-UA"/>
        </w:rPr>
        <w:t>населення</w:t>
      </w:r>
      <w:proofErr w:type="spellEnd"/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(на 10 тис. </w:t>
      </w:r>
      <w:proofErr w:type="spellStart"/>
      <w:r w:rsidRPr="00F4189E">
        <w:rPr>
          <w:rFonts w:ascii="Times New Roman" w:hAnsi="Times New Roman" w:cs="Times New Roman"/>
          <w:sz w:val="24"/>
          <w:szCs w:val="24"/>
          <w:lang w:val="uk-UA"/>
        </w:rPr>
        <w:t>дитячого</w:t>
      </w:r>
      <w:proofErr w:type="spellEnd"/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4189E">
        <w:rPr>
          <w:rFonts w:ascii="Times New Roman" w:hAnsi="Times New Roman" w:cs="Times New Roman"/>
          <w:sz w:val="24"/>
          <w:szCs w:val="24"/>
          <w:lang w:val="uk-UA"/>
        </w:rPr>
        <w:t>населення</w:t>
      </w:r>
      <w:proofErr w:type="spellEnd"/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) – 5,6 (вперше визнано – 8 осіб) січень-березень 2025 року </w:t>
      </w:r>
      <w:r w:rsidR="00F4189E" w:rsidRPr="00F4189E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F418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189E" w:rsidRPr="00F4189E">
        <w:rPr>
          <w:rFonts w:ascii="Times New Roman" w:hAnsi="Times New Roman" w:cs="Times New Roman"/>
          <w:sz w:val="24"/>
          <w:szCs w:val="24"/>
          <w:lang w:val="uk-UA"/>
        </w:rPr>
        <w:t>4,3 (вперше 7 осіб).</w:t>
      </w:r>
    </w:p>
    <w:p w14:paraId="6BB6D6B8" w14:textId="77777777" w:rsidR="00F4189E" w:rsidRPr="00F4189E" w:rsidRDefault="00F4189E" w:rsidP="00F418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07432B6" w14:textId="77777777" w:rsidR="00B90FFF" w:rsidRPr="00F4189E" w:rsidRDefault="00B90FFF" w:rsidP="00E46FF4">
      <w:pPr>
        <w:spacing w:after="0" w:line="240" w:lineRule="auto"/>
        <w:ind w:left="709"/>
        <w:jc w:val="both"/>
        <w:rPr>
          <w:rFonts w:ascii="Times New Roman" w:eastAsia="Batang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F4189E">
        <w:rPr>
          <w:rFonts w:ascii="Times New Roman" w:eastAsia="Batang" w:hAnsi="Times New Roman" w:cs="Times New Roman"/>
          <w:b/>
          <w:sz w:val="24"/>
          <w:szCs w:val="24"/>
          <w:shd w:val="clear" w:color="auto" w:fill="FFFFFF"/>
          <w:lang w:val="uk-UA"/>
        </w:rPr>
        <w:t xml:space="preserve">Проведення протитуберкульозної роботи </w:t>
      </w:r>
    </w:p>
    <w:p w14:paraId="64CA4F33" w14:textId="77777777" w:rsidR="00B90FFF" w:rsidRPr="00F4189E" w:rsidRDefault="00B90FFF" w:rsidP="00E46F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 2024 році заклад працював на підставі наказів МОЗ України від 16 лютого 2022 року №302 «Про затвердження Порядку організації виявлення та діагностики туберкульозу та </w:t>
      </w:r>
      <w:r w:rsidRPr="00F4189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латентної туберкульозної інфекції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», від 19 січня 2023 року №102 «Про затвердження </w:t>
      </w: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стандартів медичної допомоги «Туберкульоз» та плану Заходів щодо виявлення туберкульозу та латентної туберкульозної інфекції.</w:t>
      </w:r>
    </w:p>
    <w:p w14:paraId="404D44A0" w14:textId="77777777" w:rsidR="00B90FFF" w:rsidRPr="00F4189E" w:rsidRDefault="00B90FFF" w:rsidP="00E46F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Проводиться динамічне спостереження за станом здоров’я пацієнтів з діагнозом туберкульоз (далі ТБ) на амбулаторному етапі. </w:t>
      </w:r>
    </w:p>
    <w:p w14:paraId="6F4E7395" w14:textId="77777777" w:rsidR="00B90FFF" w:rsidRPr="00F4189E" w:rsidRDefault="00B90FFF" w:rsidP="00E46F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В інтересах своєчасного та ефективного надання допомоги пацієнтам з ТБ заклад взаємодіє зі спеціалізованими закладами з надання фтизіатричної допомоги, іншими закладами охорони здоров’я вторинної (спеціалізованої), третинної (високоспеціалізованої) медичної допомоги, центрами соціальних служб для сім’ї, дітей та молоді, службами у справах дітей, територіальними центрами соціального обслуговування населення.</w:t>
      </w:r>
    </w:p>
    <w:p w14:paraId="2FB50395" w14:textId="77777777" w:rsidR="00B90FFF" w:rsidRPr="00F4189E" w:rsidRDefault="00B90FFF" w:rsidP="00E46F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4189E">
        <w:rPr>
          <w:rFonts w:ascii="Times New Roman" w:eastAsia="Calibri" w:hAnsi="Times New Roman" w:cs="Times New Roman"/>
          <w:sz w:val="24"/>
          <w:szCs w:val="24"/>
          <w:lang w:val="uk-UA"/>
        </w:rPr>
        <w:t>Забезпечений рівень інформування осіб, які відносяться до груп ризику розвитку ТБ, про необхідність регулярного скринінгу на ТБ, зокрема про цілі та задачі скринінгу.</w:t>
      </w:r>
    </w:p>
    <w:p w14:paraId="7BD748A6" w14:textId="77777777" w:rsidR="001069DA" w:rsidRPr="00F4189E" w:rsidRDefault="001069DA" w:rsidP="001069DA">
      <w:pPr>
        <w:pStyle w:val="Standard"/>
        <w:tabs>
          <w:tab w:val="left" w:pos="5600"/>
          <w:tab w:val="left" w:pos="5650"/>
          <w:tab w:val="left" w:pos="6367"/>
        </w:tabs>
        <w:spacing w:line="276" w:lineRule="auto"/>
        <w:ind w:firstLine="567"/>
        <w:jc w:val="both"/>
        <w:rPr>
          <w:rFonts w:ascii="Times New Roman" w:hAnsi="Times New Roman"/>
          <w:bCs/>
          <w:lang w:val="uk-UA"/>
        </w:rPr>
      </w:pPr>
      <w:r w:rsidRPr="00F4189E">
        <w:rPr>
          <w:rFonts w:ascii="Times New Roman" w:hAnsi="Times New Roman"/>
          <w:bCs/>
          <w:lang w:val="uk-UA"/>
        </w:rPr>
        <w:t xml:space="preserve">Кількість осіб, які охоплені скринінгом на ТБ (проведено </w:t>
      </w:r>
      <w:proofErr w:type="spellStart"/>
      <w:r w:rsidRPr="00F4189E">
        <w:rPr>
          <w:rFonts w:ascii="Times New Roman" w:hAnsi="Times New Roman"/>
          <w:bCs/>
          <w:lang w:val="uk-UA"/>
        </w:rPr>
        <w:t>скринінгове</w:t>
      </w:r>
      <w:proofErr w:type="spellEnd"/>
      <w:r w:rsidRPr="00F4189E">
        <w:rPr>
          <w:rFonts w:ascii="Times New Roman" w:hAnsi="Times New Roman"/>
          <w:bCs/>
          <w:lang w:val="uk-UA"/>
        </w:rPr>
        <w:t xml:space="preserve"> анкетування та радіологічне обстеження ОГК – 6683 (січень-березень 2025 року 4674), у тому числі:</w:t>
      </w:r>
    </w:p>
    <w:p w14:paraId="0D0B0510" w14:textId="77777777" w:rsidR="001069DA" w:rsidRPr="00F4189E" w:rsidRDefault="001069DA" w:rsidP="001069DA">
      <w:pPr>
        <w:pStyle w:val="Standard"/>
        <w:tabs>
          <w:tab w:val="left" w:pos="5600"/>
          <w:tab w:val="left" w:pos="5650"/>
          <w:tab w:val="left" w:pos="6367"/>
        </w:tabs>
        <w:spacing w:line="276" w:lineRule="auto"/>
        <w:jc w:val="both"/>
        <w:rPr>
          <w:rFonts w:ascii="Times New Roman" w:hAnsi="Times New Roman"/>
          <w:bCs/>
          <w:lang w:val="uk-UA"/>
        </w:rPr>
      </w:pPr>
      <w:r w:rsidRPr="00F4189E">
        <w:rPr>
          <w:rFonts w:ascii="Times New Roman" w:hAnsi="Times New Roman"/>
          <w:bCs/>
          <w:lang w:val="uk-UA"/>
        </w:rPr>
        <w:t xml:space="preserve">         Проведено </w:t>
      </w:r>
      <w:proofErr w:type="spellStart"/>
      <w:r w:rsidRPr="00F4189E">
        <w:rPr>
          <w:rFonts w:ascii="Times New Roman" w:hAnsi="Times New Roman"/>
          <w:bCs/>
          <w:lang w:val="uk-UA"/>
        </w:rPr>
        <w:t>скринінгове</w:t>
      </w:r>
      <w:proofErr w:type="spellEnd"/>
      <w:r w:rsidRPr="00F4189E">
        <w:rPr>
          <w:rFonts w:ascii="Times New Roman" w:hAnsi="Times New Roman"/>
          <w:bCs/>
          <w:lang w:val="uk-UA"/>
        </w:rPr>
        <w:t xml:space="preserve"> анкетування серед груп ризику розвитку туберкульозу – 1418 (січень-березень 2025 року -1005);</w:t>
      </w:r>
    </w:p>
    <w:p w14:paraId="7ACDFAEB" w14:textId="77777777" w:rsidR="001069DA" w:rsidRPr="00F4189E" w:rsidRDefault="001069DA" w:rsidP="001069DA">
      <w:pPr>
        <w:pStyle w:val="Standard"/>
        <w:tabs>
          <w:tab w:val="left" w:pos="5600"/>
          <w:tab w:val="left" w:pos="5650"/>
          <w:tab w:val="left" w:pos="6367"/>
        </w:tabs>
        <w:spacing w:line="276" w:lineRule="auto"/>
        <w:ind w:firstLine="567"/>
        <w:jc w:val="both"/>
        <w:rPr>
          <w:rFonts w:ascii="Times New Roman" w:hAnsi="Times New Roman"/>
          <w:bCs/>
          <w:lang w:val="uk-UA"/>
        </w:rPr>
      </w:pPr>
      <w:r w:rsidRPr="00F4189E">
        <w:rPr>
          <w:rFonts w:ascii="Times New Roman" w:hAnsi="Times New Roman"/>
          <w:bCs/>
          <w:lang w:val="uk-UA"/>
        </w:rPr>
        <w:t>Кількість проведених обстежень ФГ ОГК – 0 (січень-березень 2025 року -1951);</w:t>
      </w:r>
    </w:p>
    <w:p w14:paraId="4B200DD8" w14:textId="77777777" w:rsidR="001069DA" w:rsidRPr="00F4189E" w:rsidRDefault="001069DA" w:rsidP="001069DA">
      <w:pPr>
        <w:pStyle w:val="Standard"/>
        <w:tabs>
          <w:tab w:val="left" w:pos="5600"/>
          <w:tab w:val="left" w:pos="5650"/>
          <w:tab w:val="left" w:pos="6367"/>
        </w:tabs>
        <w:spacing w:line="276" w:lineRule="auto"/>
        <w:ind w:firstLine="567"/>
        <w:jc w:val="both"/>
        <w:rPr>
          <w:rFonts w:ascii="Times New Roman" w:hAnsi="Times New Roman"/>
          <w:bCs/>
          <w:lang w:val="uk-UA"/>
        </w:rPr>
      </w:pPr>
      <w:r w:rsidRPr="00F4189E">
        <w:rPr>
          <w:rFonts w:ascii="Times New Roman" w:hAnsi="Times New Roman"/>
          <w:bCs/>
          <w:lang w:val="uk-UA"/>
        </w:rPr>
        <w:t>Кількість проведених рентгенологічних обстежень ОГК – 5174; у тому числі: 4725 – доросле населення, 118 обстеження (діти 15-17 років), 331 обстеження (діти 0-14 років) (січень-березень 2025 року - ОГК – 2617; у тому числі: 2284 – доросле населення, 172 обстеження (діти 15-17 років), 161 обстеження (діти 0-14 років);</w:t>
      </w:r>
    </w:p>
    <w:p w14:paraId="27BFF6B4" w14:textId="77777777" w:rsidR="001069DA" w:rsidRPr="00F4189E" w:rsidRDefault="001069DA" w:rsidP="001069DA">
      <w:pPr>
        <w:pStyle w:val="Standard"/>
        <w:tabs>
          <w:tab w:val="left" w:pos="5600"/>
          <w:tab w:val="left" w:pos="5650"/>
          <w:tab w:val="left" w:pos="6367"/>
        </w:tabs>
        <w:spacing w:line="276" w:lineRule="auto"/>
        <w:ind w:firstLine="567"/>
        <w:jc w:val="both"/>
        <w:rPr>
          <w:rFonts w:ascii="Times New Roman" w:hAnsi="Times New Roman"/>
          <w:bCs/>
          <w:lang w:val="uk-UA"/>
        </w:rPr>
      </w:pPr>
      <w:r w:rsidRPr="00F4189E">
        <w:rPr>
          <w:rFonts w:ascii="Times New Roman" w:hAnsi="Times New Roman"/>
          <w:bCs/>
          <w:lang w:val="uk-UA"/>
        </w:rPr>
        <w:t xml:space="preserve">Проведено проб </w:t>
      </w:r>
      <w:proofErr w:type="spellStart"/>
      <w:r w:rsidRPr="00F4189E">
        <w:rPr>
          <w:rFonts w:ascii="Times New Roman" w:hAnsi="Times New Roman"/>
          <w:bCs/>
          <w:lang w:val="uk-UA"/>
        </w:rPr>
        <w:t>Манту</w:t>
      </w:r>
      <w:proofErr w:type="spellEnd"/>
      <w:r w:rsidRPr="00F4189E">
        <w:rPr>
          <w:rFonts w:ascii="Times New Roman" w:hAnsi="Times New Roman"/>
          <w:bCs/>
          <w:lang w:val="uk-UA"/>
        </w:rPr>
        <w:t xml:space="preserve"> – 73 (план – 267, % виконання 27,3) (січень-березень 2025 року - 88 (план 350, % виконання 25,1);</w:t>
      </w:r>
    </w:p>
    <w:p w14:paraId="0A682C10" w14:textId="77777777" w:rsidR="001069DA" w:rsidRPr="00F4189E" w:rsidRDefault="001069DA" w:rsidP="001069DA">
      <w:pPr>
        <w:pStyle w:val="Standard"/>
        <w:tabs>
          <w:tab w:val="left" w:pos="5600"/>
          <w:tab w:val="left" w:pos="5650"/>
          <w:tab w:val="left" w:pos="6367"/>
        </w:tabs>
        <w:spacing w:line="276" w:lineRule="auto"/>
        <w:ind w:firstLine="567"/>
        <w:jc w:val="both"/>
        <w:rPr>
          <w:rFonts w:hint="eastAsia"/>
          <w:bCs/>
          <w:lang w:val="uk-UA"/>
        </w:rPr>
      </w:pPr>
      <w:r w:rsidRPr="00F4189E">
        <w:rPr>
          <w:bCs/>
          <w:lang w:val="uk-UA"/>
        </w:rPr>
        <w:t>Проведено обстежень мокротиння – 18, із них 1 позитивний (січень-березень 2025 року – 18, всі зразки негативні)</w:t>
      </w:r>
    </w:p>
    <w:p w14:paraId="596F1F07" w14:textId="77777777" w:rsidR="001069DA" w:rsidRPr="00F4189E" w:rsidRDefault="001069DA" w:rsidP="001069DA">
      <w:pPr>
        <w:pStyle w:val="Standard"/>
        <w:tabs>
          <w:tab w:val="left" w:pos="5600"/>
          <w:tab w:val="left" w:pos="5650"/>
          <w:tab w:val="left" w:pos="636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6609C4E2" w14:textId="392ED834" w:rsidR="00DC421C" w:rsidRPr="00F4189E" w:rsidRDefault="00DC421C" w:rsidP="00F35BF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4189E">
        <w:rPr>
          <w:rFonts w:ascii="Times New Roman" w:hAnsi="Times New Roman"/>
          <w:bCs/>
          <w:sz w:val="24"/>
          <w:szCs w:val="24"/>
          <w:lang w:val="uk-UA"/>
        </w:rPr>
        <w:t xml:space="preserve">В закладі сформований електронний реєстр онкологічних пацієнтів, які задекларовані з лікарями закладу. Проводиться </w:t>
      </w:r>
      <w:proofErr w:type="spellStart"/>
      <w:r w:rsidRPr="00F4189E">
        <w:rPr>
          <w:rFonts w:ascii="Times New Roman" w:hAnsi="Times New Roman"/>
          <w:bCs/>
          <w:sz w:val="24"/>
          <w:szCs w:val="24"/>
          <w:lang w:val="uk-UA"/>
        </w:rPr>
        <w:t>скринінгове</w:t>
      </w:r>
      <w:proofErr w:type="spellEnd"/>
      <w:r w:rsidRPr="00F4189E">
        <w:rPr>
          <w:rFonts w:ascii="Times New Roman" w:hAnsi="Times New Roman"/>
          <w:bCs/>
          <w:sz w:val="24"/>
          <w:szCs w:val="24"/>
          <w:lang w:val="uk-UA"/>
        </w:rPr>
        <w:t xml:space="preserve"> обстеження населення на виявлення найбільш поширених злоякісних локалізацій, так впродовж</w:t>
      </w:r>
      <w:r w:rsidR="001069DA" w:rsidRPr="00F4189E">
        <w:rPr>
          <w:rFonts w:ascii="Times New Roman" w:hAnsi="Times New Roman"/>
          <w:bCs/>
          <w:sz w:val="24"/>
          <w:szCs w:val="24"/>
          <w:lang w:val="uk-UA"/>
        </w:rPr>
        <w:t xml:space="preserve"> січня – березня 2026 року охоплено скринінгом – 27,8% задекларованого населення</w:t>
      </w:r>
      <w:r w:rsidRPr="00F4189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069DA" w:rsidRPr="00F4189E">
        <w:rPr>
          <w:rFonts w:ascii="Times New Roman" w:hAnsi="Times New Roman"/>
          <w:bCs/>
          <w:sz w:val="24"/>
          <w:szCs w:val="24"/>
          <w:lang w:val="uk-UA"/>
        </w:rPr>
        <w:t>(</w:t>
      </w:r>
      <w:r w:rsidRPr="00F4189E">
        <w:rPr>
          <w:rFonts w:ascii="Times New Roman" w:hAnsi="Times New Roman"/>
          <w:bCs/>
          <w:sz w:val="24"/>
          <w:szCs w:val="24"/>
          <w:lang w:val="uk-UA"/>
        </w:rPr>
        <w:t>січ</w:t>
      </w:r>
      <w:r w:rsidR="001069DA" w:rsidRPr="00F4189E">
        <w:rPr>
          <w:rFonts w:ascii="Times New Roman" w:hAnsi="Times New Roman"/>
          <w:bCs/>
          <w:sz w:val="24"/>
          <w:szCs w:val="24"/>
          <w:lang w:val="uk-UA"/>
        </w:rPr>
        <w:t>ень</w:t>
      </w:r>
      <w:r w:rsidRPr="00F4189E">
        <w:rPr>
          <w:rFonts w:ascii="Times New Roman" w:hAnsi="Times New Roman"/>
          <w:bCs/>
          <w:sz w:val="24"/>
          <w:szCs w:val="24"/>
          <w:lang w:val="uk-UA"/>
        </w:rPr>
        <w:t>-берез</w:t>
      </w:r>
      <w:r w:rsidR="001069DA" w:rsidRPr="00F4189E">
        <w:rPr>
          <w:rFonts w:ascii="Times New Roman" w:hAnsi="Times New Roman"/>
          <w:bCs/>
          <w:sz w:val="24"/>
          <w:szCs w:val="24"/>
          <w:lang w:val="uk-UA"/>
        </w:rPr>
        <w:t>ень</w:t>
      </w:r>
      <w:r w:rsidRPr="00F4189E">
        <w:rPr>
          <w:rFonts w:ascii="Times New Roman" w:hAnsi="Times New Roman"/>
          <w:bCs/>
          <w:sz w:val="24"/>
          <w:szCs w:val="24"/>
          <w:lang w:val="uk-UA"/>
        </w:rPr>
        <w:t xml:space="preserve"> 2025 року </w:t>
      </w:r>
      <w:r w:rsidR="001069DA" w:rsidRPr="00F4189E">
        <w:rPr>
          <w:rFonts w:ascii="Times New Roman" w:hAnsi="Times New Roman"/>
          <w:bCs/>
          <w:sz w:val="24"/>
          <w:szCs w:val="24"/>
          <w:lang w:val="uk-UA"/>
        </w:rPr>
        <w:t>-</w:t>
      </w:r>
      <w:r w:rsidRPr="00F4189E">
        <w:rPr>
          <w:rFonts w:ascii="Times New Roman" w:hAnsi="Times New Roman"/>
          <w:bCs/>
          <w:sz w:val="24"/>
          <w:szCs w:val="24"/>
          <w:lang w:val="uk-UA"/>
        </w:rPr>
        <w:t xml:space="preserve"> 51,9% задекларованого населення</w:t>
      </w:r>
      <w:r w:rsidR="001069DA" w:rsidRPr="00F4189E">
        <w:rPr>
          <w:rFonts w:ascii="Times New Roman" w:hAnsi="Times New Roman"/>
          <w:bCs/>
          <w:sz w:val="24"/>
          <w:szCs w:val="24"/>
          <w:lang w:val="uk-UA"/>
        </w:rPr>
        <w:t>)</w:t>
      </w:r>
      <w:r w:rsidRPr="00F4189E">
        <w:rPr>
          <w:rFonts w:ascii="Times New Roman" w:hAnsi="Times New Roman"/>
          <w:bCs/>
          <w:sz w:val="24"/>
          <w:szCs w:val="24"/>
          <w:lang w:val="uk-UA"/>
        </w:rPr>
        <w:t xml:space="preserve">, а саме у розрізі нозологій: рак молочної залози </w:t>
      </w:r>
      <w:r w:rsidR="001069DA" w:rsidRPr="00F4189E">
        <w:rPr>
          <w:rFonts w:ascii="Times New Roman" w:hAnsi="Times New Roman"/>
          <w:bCs/>
          <w:sz w:val="24"/>
          <w:szCs w:val="24"/>
          <w:lang w:val="uk-UA"/>
        </w:rPr>
        <w:t xml:space="preserve">– 27,4%  (І квартал 2025 року - </w:t>
      </w:r>
      <w:r w:rsidRPr="00F4189E">
        <w:rPr>
          <w:rFonts w:ascii="Times New Roman" w:hAnsi="Times New Roman"/>
          <w:bCs/>
          <w:sz w:val="24"/>
          <w:szCs w:val="24"/>
          <w:lang w:val="uk-UA"/>
        </w:rPr>
        <w:t>46,5%</w:t>
      </w:r>
      <w:r w:rsidR="001069DA" w:rsidRPr="00F4189E">
        <w:rPr>
          <w:rFonts w:ascii="Times New Roman" w:hAnsi="Times New Roman"/>
          <w:bCs/>
          <w:sz w:val="24"/>
          <w:szCs w:val="24"/>
          <w:lang w:val="uk-UA"/>
        </w:rPr>
        <w:t>)</w:t>
      </w:r>
      <w:r w:rsidRPr="00F4189E">
        <w:rPr>
          <w:rFonts w:ascii="Times New Roman" w:hAnsi="Times New Roman"/>
          <w:bCs/>
          <w:sz w:val="24"/>
          <w:szCs w:val="24"/>
          <w:lang w:val="uk-UA"/>
        </w:rPr>
        <w:t xml:space="preserve">, коло ректальний рак </w:t>
      </w:r>
      <w:r w:rsidR="001069DA" w:rsidRPr="00F4189E">
        <w:rPr>
          <w:rFonts w:ascii="Times New Roman" w:hAnsi="Times New Roman"/>
          <w:bCs/>
          <w:sz w:val="24"/>
          <w:szCs w:val="24"/>
          <w:lang w:val="uk-UA"/>
        </w:rPr>
        <w:t>–</w:t>
      </w:r>
      <w:r w:rsidRPr="00F4189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069DA" w:rsidRPr="00F4189E">
        <w:rPr>
          <w:rFonts w:ascii="Times New Roman" w:hAnsi="Times New Roman"/>
          <w:bCs/>
          <w:sz w:val="24"/>
          <w:szCs w:val="24"/>
          <w:lang w:val="uk-UA"/>
        </w:rPr>
        <w:t>24,6% (І квартал 2025 року -</w:t>
      </w:r>
      <w:r w:rsidRPr="00F4189E">
        <w:rPr>
          <w:rFonts w:ascii="Times New Roman" w:hAnsi="Times New Roman"/>
          <w:bCs/>
          <w:sz w:val="24"/>
          <w:szCs w:val="24"/>
          <w:lang w:val="uk-UA"/>
        </w:rPr>
        <w:t>52,6%</w:t>
      </w:r>
      <w:r w:rsidR="001069DA" w:rsidRPr="00F4189E">
        <w:rPr>
          <w:rFonts w:ascii="Times New Roman" w:hAnsi="Times New Roman"/>
          <w:bCs/>
          <w:sz w:val="24"/>
          <w:szCs w:val="24"/>
          <w:lang w:val="uk-UA"/>
        </w:rPr>
        <w:t>)</w:t>
      </w:r>
      <w:r w:rsidRPr="00F4189E">
        <w:rPr>
          <w:rFonts w:ascii="Times New Roman" w:hAnsi="Times New Roman"/>
          <w:bCs/>
          <w:sz w:val="24"/>
          <w:szCs w:val="24"/>
          <w:lang w:val="uk-UA"/>
        </w:rPr>
        <w:t xml:space="preserve">, рак передміхурової залози – </w:t>
      </w:r>
      <w:r w:rsidR="001069DA" w:rsidRPr="00F4189E">
        <w:rPr>
          <w:rFonts w:ascii="Times New Roman" w:hAnsi="Times New Roman"/>
          <w:bCs/>
          <w:sz w:val="24"/>
          <w:szCs w:val="24"/>
          <w:lang w:val="uk-UA"/>
        </w:rPr>
        <w:t xml:space="preserve">35,6% (І квартал 2025 року - </w:t>
      </w:r>
      <w:r w:rsidRPr="00F4189E">
        <w:rPr>
          <w:rFonts w:ascii="Times New Roman" w:hAnsi="Times New Roman"/>
          <w:bCs/>
          <w:sz w:val="24"/>
          <w:szCs w:val="24"/>
          <w:lang w:val="uk-UA"/>
        </w:rPr>
        <w:t>54,4%</w:t>
      </w:r>
      <w:r w:rsidR="001069DA" w:rsidRPr="00F4189E">
        <w:rPr>
          <w:rFonts w:ascii="Times New Roman" w:hAnsi="Times New Roman"/>
          <w:bCs/>
          <w:sz w:val="24"/>
          <w:szCs w:val="24"/>
          <w:lang w:val="uk-UA"/>
        </w:rPr>
        <w:t>)</w:t>
      </w:r>
      <w:r w:rsidRPr="00F4189E">
        <w:rPr>
          <w:rFonts w:ascii="Times New Roman" w:hAnsi="Times New Roman"/>
          <w:bCs/>
          <w:sz w:val="24"/>
          <w:szCs w:val="24"/>
          <w:lang w:val="uk-UA"/>
        </w:rPr>
        <w:t>,</w:t>
      </w:r>
      <w:r w:rsidR="001069DA" w:rsidRPr="00F4189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F4189E">
        <w:rPr>
          <w:rFonts w:ascii="Times New Roman" w:hAnsi="Times New Roman"/>
          <w:bCs/>
          <w:sz w:val="24"/>
          <w:szCs w:val="24"/>
          <w:lang w:val="uk-UA"/>
        </w:rPr>
        <w:t xml:space="preserve">рак губи та шкіри – </w:t>
      </w:r>
      <w:r w:rsidR="001069DA" w:rsidRPr="00F4189E">
        <w:rPr>
          <w:rFonts w:ascii="Times New Roman" w:hAnsi="Times New Roman"/>
          <w:bCs/>
          <w:sz w:val="24"/>
          <w:szCs w:val="24"/>
          <w:lang w:val="uk-UA"/>
        </w:rPr>
        <w:t xml:space="preserve">32,7% (І квартал 2025 року - </w:t>
      </w:r>
      <w:r w:rsidRPr="00F4189E">
        <w:rPr>
          <w:rFonts w:ascii="Times New Roman" w:hAnsi="Times New Roman"/>
          <w:bCs/>
          <w:sz w:val="24"/>
          <w:szCs w:val="24"/>
          <w:lang w:val="uk-UA"/>
        </w:rPr>
        <w:t>51,1%</w:t>
      </w:r>
      <w:r w:rsidR="001069DA" w:rsidRPr="00F4189E">
        <w:rPr>
          <w:rFonts w:ascii="Times New Roman" w:hAnsi="Times New Roman"/>
          <w:bCs/>
          <w:sz w:val="24"/>
          <w:szCs w:val="24"/>
          <w:lang w:val="uk-UA"/>
        </w:rPr>
        <w:t>)</w:t>
      </w:r>
      <w:r w:rsidRPr="00F4189E">
        <w:rPr>
          <w:rFonts w:ascii="Times New Roman" w:hAnsi="Times New Roman"/>
          <w:bCs/>
          <w:sz w:val="24"/>
          <w:szCs w:val="24"/>
          <w:lang w:val="uk-UA"/>
        </w:rPr>
        <w:t xml:space="preserve">, рак шийки матки – </w:t>
      </w:r>
      <w:r w:rsidR="001069DA" w:rsidRPr="00F4189E">
        <w:rPr>
          <w:rFonts w:ascii="Times New Roman" w:hAnsi="Times New Roman"/>
          <w:bCs/>
          <w:sz w:val="24"/>
          <w:szCs w:val="24"/>
          <w:lang w:val="uk-UA"/>
        </w:rPr>
        <w:t xml:space="preserve">11,7% (І квартал 2025 року - </w:t>
      </w:r>
      <w:r w:rsidRPr="00F4189E">
        <w:rPr>
          <w:rFonts w:ascii="Times New Roman" w:hAnsi="Times New Roman"/>
          <w:bCs/>
          <w:sz w:val="24"/>
          <w:szCs w:val="24"/>
          <w:lang w:val="uk-UA"/>
        </w:rPr>
        <w:t>24,5%</w:t>
      </w:r>
      <w:r w:rsidR="001069DA" w:rsidRPr="00F4189E">
        <w:rPr>
          <w:rFonts w:ascii="Times New Roman" w:hAnsi="Times New Roman"/>
          <w:bCs/>
          <w:sz w:val="24"/>
          <w:szCs w:val="24"/>
          <w:lang w:val="uk-UA"/>
        </w:rPr>
        <w:t>)</w:t>
      </w:r>
      <w:r w:rsidRPr="00F4189E">
        <w:rPr>
          <w:rFonts w:ascii="Times New Roman" w:hAnsi="Times New Roman"/>
          <w:bCs/>
          <w:sz w:val="24"/>
          <w:szCs w:val="24"/>
          <w:lang w:val="uk-UA"/>
        </w:rPr>
        <w:t xml:space="preserve">, рак легень – </w:t>
      </w:r>
      <w:r w:rsidR="001069DA" w:rsidRPr="00F4189E">
        <w:rPr>
          <w:rFonts w:ascii="Times New Roman" w:hAnsi="Times New Roman"/>
          <w:bCs/>
          <w:sz w:val="24"/>
          <w:szCs w:val="24"/>
          <w:lang w:val="uk-UA"/>
        </w:rPr>
        <w:t xml:space="preserve">25,1% (І квартал 2025 року - </w:t>
      </w:r>
      <w:r w:rsidRPr="00F4189E">
        <w:rPr>
          <w:rFonts w:ascii="Times New Roman" w:hAnsi="Times New Roman"/>
          <w:bCs/>
          <w:sz w:val="24"/>
          <w:szCs w:val="24"/>
          <w:lang w:val="uk-UA"/>
        </w:rPr>
        <w:t>49,0%</w:t>
      </w:r>
      <w:r w:rsidR="001069DA" w:rsidRPr="00F4189E">
        <w:rPr>
          <w:rFonts w:ascii="Times New Roman" w:hAnsi="Times New Roman"/>
          <w:bCs/>
          <w:sz w:val="24"/>
          <w:szCs w:val="24"/>
          <w:lang w:val="uk-UA"/>
        </w:rPr>
        <w:t>)</w:t>
      </w:r>
      <w:r w:rsidRPr="00F4189E">
        <w:rPr>
          <w:rFonts w:ascii="Times New Roman" w:hAnsi="Times New Roman"/>
          <w:bCs/>
          <w:sz w:val="24"/>
          <w:szCs w:val="24"/>
          <w:lang w:val="uk-UA"/>
        </w:rPr>
        <w:t xml:space="preserve">, рак шлунку – </w:t>
      </w:r>
      <w:r w:rsidR="002D7456" w:rsidRPr="00F4189E">
        <w:rPr>
          <w:rFonts w:ascii="Times New Roman" w:hAnsi="Times New Roman"/>
          <w:bCs/>
          <w:sz w:val="24"/>
          <w:szCs w:val="24"/>
          <w:lang w:val="uk-UA"/>
        </w:rPr>
        <w:t xml:space="preserve">26,9% (І квартал 2025 року - </w:t>
      </w:r>
      <w:r w:rsidRPr="00F4189E">
        <w:rPr>
          <w:rFonts w:ascii="Times New Roman" w:hAnsi="Times New Roman"/>
          <w:bCs/>
          <w:sz w:val="24"/>
          <w:szCs w:val="24"/>
          <w:lang w:val="uk-UA"/>
        </w:rPr>
        <w:t>78,8%</w:t>
      </w:r>
      <w:r w:rsidR="002D7456" w:rsidRPr="00F4189E">
        <w:rPr>
          <w:rFonts w:ascii="Times New Roman" w:hAnsi="Times New Roman"/>
          <w:bCs/>
          <w:sz w:val="24"/>
          <w:szCs w:val="24"/>
          <w:lang w:val="uk-UA"/>
        </w:rPr>
        <w:t>)</w:t>
      </w:r>
      <w:r w:rsidRPr="00F4189E">
        <w:rPr>
          <w:rFonts w:ascii="Times New Roman" w:hAnsi="Times New Roman"/>
          <w:bCs/>
          <w:sz w:val="24"/>
          <w:szCs w:val="24"/>
          <w:lang w:val="uk-UA"/>
        </w:rPr>
        <w:t xml:space="preserve">, рак слизової оболонки порожнини рота – </w:t>
      </w:r>
      <w:r w:rsidR="002D7456" w:rsidRPr="00F4189E">
        <w:rPr>
          <w:rFonts w:ascii="Times New Roman" w:hAnsi="Times New Roman"/>
          <w:bCs/>
          <w:sz w:val="24"/>
          <w:szCs w:val="24"/>
          <w:lang w:val="uk-UA"/>
        </w:rPr>
        <w:t xml:space="preserve">24,3% (І квартал 2025 року </w:t>
      </w:r>
      <w:r w:rsidRPr="00F4189E">
        <w:rPr>
          <w:rFonts w:ascii="Times New Roman" w:hAnsi="Times New Roman"/>
          <w:bCs/>
          <w:sz w:val="24"/>
          <w:szCs w:val="24"/>
          <w:lang w:val="uk-UA"/>
        </w:rPr>
        <w:t>54,5%</w:t>
      </w:r>
      <w:r w:rsidR="002D7456" w:rsidRPr="00F4189E">
        <w:rPr>
          <w:rFonts w:ascii="Times New Roman" w:hAnsi="Times New Roman"/>
          <w:bCs/>
          <w:sz w:val="24"/>
          <w:szCs w:val="24"/>
          <w:lang w:val="uk-UA"/>
        </w:rPr>
        <w:t>)</w:t>
      </w:r>
      <w:r w:rsidRPr="00F4189E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552909D9" w14:textId="65C8E0B6" w:rsidR="00F35BFA" w:rsidRPr="00F4189E" w:rsidRDefault="00F35BFA" w:rsidP="00F35BF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4189E">
        <w:rPr>
          <w:rFonts w:ascii="Times New Roman" w:hAnsi="Times New Roman"/>
          <w:bCs/>
          <w:sz w:val="24"/>
          <w:szCs w:val="24"/>
          <w:lang w:val="uk-UA"/>
        </w:rPr>
        <w:t xml:space="preserve">З метою попередження та раннього виявлення новоутворень молочної залози, для зниження раку молочної залози жіноче населення після «45+» років активно направляється на </w:t>
      </w:r>
      <w:proofErr w:type="spellStart"/>
      <w:r w:rsidRPr="00F4189E">
        <w:rPr>
          <w:rFonts w:ascii="Times New Roman" w:hAnsi="Times New Roman"/>
          <w:bCs/>
          <w:sz w:val="24"/>
          <w:szCs w:val="24"/>
          <w:lang w:val="uk-UA"/>
        </w:rPr>
        <w:t>мамографічне</w:t>
      </w:r>
      <w:proofErr w:type="spellEnd"/>
      <w:r w:rsidRPr="00F4189E">
        <w:rPr>
          <w:rFonts w:ascii="Times New Roman" w:hAnsi="Times New Roman"/>
          <w:bCs/>
          <w:sz w:val="24"/>
          <w:szCs w:val="24"/>
          <w:lang w:val="uk-UA"/>
        </w:rPr>
        <w:t xml:space="preserve"> обстеження, так впродовж січня-березня 2026 року кількість створених направлень на </w:t>
      </w:r>
      <w:proofErr w:type="spellStart"/>
      <w:r w:rsidRPr="00F4189E">
        <w:rPr>
          <w:rFonts w:ascii="Times New Roman" w:hAnsi="Times New Roman"/>
          <w:bCs/>
          <w:sz w:val="24"/>
          <w:szCs w:val="24"/>
          <w:lang w:val="uk-UA"/>
        </w:rPr>
        <w:t>мамографічне</w:t>
      </w:r>
      <w:proofErr w:type="spellEnd"/>
      <w:r w:rsidRPr="00F4189E">
        <w:rPr>
          <w:rFonts w:ascii="Times New Roman" w:hAnsi="Times New Roman"/>
          <w:bCs/>
          <w:sz w:val="24"/>
          <w:szCs w:val="24"/>
          <w:lang w:val="uk-UA"/>
        </w:rPr>
        <w:t xml:space="preserve"> обстеження склала 1349, погашено направлень 470. Виявлено вперше 18 жінок з онкологічною патологією молочної залози, із них 1 особа померла.</w:t>
      </w:r>
    </w:p>
    <w:p w14:paraId="66619EE6" w14:textId="7E5117F1" w:rsidR="00F35BFA" w:rsidRPr="00F4189E" w:rsidRDefault="00F35BFA" w:rsidP="00F35BF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4189E">
        <w:rPr>
          <w:rFonts w:ascii="Times New Roman" w:hAnsi="Times New Roman"/>
          <w:bCs/>
          <w:sz w:val="24"/>
          <w:szCs w:val="24"/>
          <w:lang w:val="uk-UA"/>
        </w:rPr>
        <w:t xml:space="preserve">Медичним персоналом закладу (лікарями, сестрами медичними) проводиться санітарно-просвітня та роз’яснювальна робота з населенням з питань методики </w:t>
      </w:r>
      <w:proofErr w:type="spellStart"/>
      <w:r w:rsidRPr="00F4189E">
        <w:rPr>
          <w:rFonts w:ascii="Times New Roman" w:hAnsi="Times New Roman"/>
          <w:bCs/>
          <w:sz w:val="24"/>
          <w:szCs w:val="24"/>
          <w:lang w:val="uk-UA"/>
        </w:rPr>
        <w:t>со</w:t>
      </w:r>
      <w:r w:rsidR="004637BD" w:rsidRPr="00F4189E">
        <w:rPr>
          <w:rFonts w:ascii="Times New Roman" w:hAnsi="Times New Roman"/>
          <w:bCs/>
          <w:sz w:val="24"/>
          <w:szCs w:val="24"/>
          <w:lang w:val="uk-UA"/>
        </w:rPr>
        <w:t>м</w:t>
      </w:r>
      <w:r w:rsidRPr="00F4189E">
        <w:rPr>
          <w:rFonts w:ascii="Times New Roman" w:hAnsi="Times New Roman"/>
          <w:bCs/>
          <w:sz w:val="24"/>
          <w:szCs w:val="24"/>
          <w:lang w:val="uk-UA"/>
        </w:rPr>
        <w:t>о</w:t>
      </w:r>
      <w:r w:rsidR="004637BD" w:rsidRPr="00F4189E">
        <w:rPr>
          <w:rFonts w:ascii="Times New Roman" w:hAnsi="Times New Roman"/>
          <w:bCs/>
          <w:sz w:val="24"/>
          <w:szCs w:val="24"/>
          <w:lang w:val="uk-UA"/>
        </w:rPr>
        <w:t>о</w:t>
      </w:r>
      <w:r w:rsidRPr="00F4189E">
        <w:rPr>
          <w:rFonts w:ascii="Times New Roman" w:hAnsi="Times New Roman"/>
          <w:bCs/>
          <w:sz w:val="24"/>
          <w:szCs w:val="24"/>
          <w:lang w:val="uk-UA"/>
        </w:rPr>
        <w:t>бстеження</w:t>
      </w:r>
      <w:proofErr w:type="spellEnd"/>
      <w:r w:rsidRPr="00F4189E">
        <w:rPr>
          <w:rFonts w:ascii="Times New Roman" w:hAnsi="Times New Roman"/>
          <w:bCs/>
          <w:sz w:val="24"/>
          <w:szCs w:val="24"/>
          <w:lang w:val="uk-UA"/>
        </w:rPr>
        <w:t xml:space="preserve"> молочних залоз для виявлення ущільнень, змін шкіри та виділень із соска.</w:t>
      </w:r>
      <w:r w:rsidR="004637BD" w:rsidRPr="00F4189E">
        <w:rPr>
          <w:rFonts w:ascii="Times New Roman" w:hAnsi="Times New Roman"/>
          <w:bCs/>
          <w:sz w:val="24"/>
          <w:szCs w:val="24"/>
          <w:lang w:val="uk-UA"/>
        </w:rPr>
        <w:t xml:space="preserve"> Проведено 22 лекції, 69 бесід.</w:t>
      </w:r>
    </w:p>
    <w:p w14:paraId="3786DD1A" w14:textId="75239692" w:rsidR="004A137B" w:rsidRPr="00F4189E" w:rsidRDefault="00DC421C" w:rsidP="00433824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4189E">
        <w:rPr>
          <w:rFonts w:ascii="Times New Roman" w:hAnsi="Times New Roman"/>
          <w:bCs/>
          <w:sz w:val="24"/>
          <w:szCs w:val="24"/>
          <w:lang w:val="uk-UA"/>
        </w:rPr>
        <w:t>Лікарями закладу, за наявності підстав,  проводиться обов’язкове направлення задекларованих пацієнтів з хронічними захворюваннями з відповідним оформленням документів на проведення оцінювання повсякденного функціонування особи. За січень-березень 202</w:t>
      </w:r>
      <w:r w:rsidR="004A137B" w:rsidRPr="00F4189E">
        <w:rPr>
          <w:rFonts w:ascii="Times New Roman" w:hAnsi="Times New Roman"/>
          <w:bCs/>
          <w:sz w:val="24"/>
          <w:szCs w:val="24"/>
          <w:lang w:val="uk-UA"/>
        </w:rPr>
        <w:t>5</w:t>
      </w:r>
      <w:r w:rsidRPr="00F4189E">
        <w:rPr>
          <w:rFonts w:ascii="Times New Roman" w:hAnsi="Times New Roman"/>
          <w:bCs/>
          <w:sz w:val="24"/>
          <w:szCs w:val="24"/>
          <w:lang w:val="uk-UA"/>
        </w:rPr>
        <w:t xml:space="preserve"> року кількість направлених на переогляд склала </w:t>
      </w:r>
      <w:r w:rsidR="004A137B" w:rsidRPr="00F4189E">
        <w:rPr>
          <w:rFonts w:ascii="Times New Roman" w:hAnsi="Times New Roman"/>
          <w:bCs/>
          <w:sz w:val="24"/>
          <w:szCs w:val="24"/>
          <w:lang w:val="uk-UA"/>
        </w:rPr>
        <w:t>439</w:t>
      </w:r>
      <w:r w:rsidRPr="00F4189E">
        <w:rPr>
          <w:rFonts w:ascii="Times New Roman" w:hAnsi="Times New Roman"/>
          <w:bCs/>
          <w:sz w:val="24"/>
          <w:szCs w:val="24"/>
          <w:lang w:val="uk-UA"/>
        </w:rPr>
        <w:t xml:space="preserve"> ос</w:t>
      </w:r>
      <w:r w:rsidR="004A137B" w:rsidRPr="00F4189E">
        <w:rPr>
          <w:rFonts w:ascii="Times New Roman" w:hAnsi="Times New Roman"/>
          <w:bCs/>
          <w:sz w:val="24"/>
          <w:szCs w:val="24"/>
          <w:lang w:val="uk-UA"/>
        </w:rPr>
        <w:t>іб</w:t>
      </w:r>
      <w:r w:rsidRPr="00F4189E">
        <w:rPr>
          <w:rFonts w:ascii="Times New Roman" w:hAnsi="Times New Roman"/>
          <w:bCs/>
          <w:sz w:val="24"/>
          <w:szCs w:val="24"/>
          <w:lang w:val="uk-UA"/>
        </w:rPr>
        <w:t xml:space="preserve">, а саме: первинно визнані інвалідами – </w:t>
      </w:r>
      <w:r w:rsidR="004A137B" w:rsidRPr="00F4189E">
        <w:rPr>
          <w:rFonts w:ascii="Times New Roman" w:hAnsi="Times New Roman"/>
          <w:bCs/>
          <w:sz w:val="24"/>
          <w:szCs w:val="24"/>
          <w:lang w:val="uk-UA"/>
        </w:rPr>
        <w:t xml:space="preserve">99 осіб, у </w:t>
      </w:r>
      <w:proofErr w:type="spellStart"/>
      <w:r w:rsidR="004A137B" w:rsidRPr="00F4189E">
        <w:rPr>
          <w:rFonts w:ascii="Times New Roman" w:hAnsi="Times New Roman"/>
          <w:bCs/>
          <w:sz w:val="24"/>
          <w:szCs w:val="24"/>
          <w:lang w:val="uk-UA"/>
        </w:rPr>
        <w:t>т.ч</w:t>
      </w:r>
      <w:proofErr w:type="spellEnd"/>
      <w:r w:rsidR="004A137B" w:rsidRPr="00F4189E">
        <w:rPr>
          <w:rFonts w:ascii="Times New Roman" w:hAnsi="Times New Roman"/>
          <w:bCs/>
          <w:sz w:val="24"/>
          <w:szCs w:val="24"/>
          <w:lang w:val="uk-UA"/>
        </w:rPr>
        <w:t>. 73 особи працездатного віку, 26 осіб пенсійного віку.</w:t>
      </w:r>
    </w:p>
    <w:p w14:paraId="7E191B86" w14:textId="17185B2C" w:rsidR="00DC421C" w:rsidRPr="00F4189E" w:rsidRDefault="00DC421C" w:rsidP="00E46FF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4189E">
        <w:rPr>
          <w:rFonts w:ascii="Times New Roman" w:hAnsi="Times New Roman"/>
          <w:bCs/>
          <w:sz w:val="24"/>
          <w:szCs w:val="24"/>
          <w:lang w:val="uk-UA"/>
        </w:rPr>
        <w:lastRenderedPageBreak/>
        <w:t>Відповідно до вимог НСЗУ та програми ментального здоров’я лікарями проводиться надання психологічної допомоги населенню, за потреби. Так впродовж січня-березня 202</w:t>
      </w:r>
      <w:r w:rsidR="00426F90" w:rsidRPr="00F4189E">
        <w:rPr>
          <w:rFonts w:ascii="Times New Roman" w:hAnsi="Times New Roman"/>
          <w:bCs/>
          <w:sz w:val="24"/>
          <w:szCs w:val="24"/>
          <w:lang w:val="uk-UA"/>
        </w:rPr>
        <w:t xml:space="preserve">6 </w:t>
      </w:r>
      <w:r w:rsidRPr="00F4189E">
        <w:rPr>
          <w:rFonts w:ascii="Times New Roman" w:hAnsi="Times New Roman"/>
          <w:bCs/>
          <w:sz w:val="24"/>
          <w:szCs w:val="24"/>
          <w:lang w:val="uk-UA"/>
        </w:rPr>
        <w:t xml:space="preserve">року психологічна допомога надана </w:t>
      </w:r>
      <w:r w:rsidR="00426F90" w:rsidRPr="00F4189E">
        <w:rPr>
          <w:rFonts w:ascii="Times New Roman" w:hAnsi="Times New Roman"/>
          <w:bCs/>
          <w:sz w:val="24"/>
          <w:szCs w:val="24"/>
          <w:lang w:val="uk-UA"/>
        </w:rPr>
        <w:t xml:space="preserve">1025 особам, </w:t>
      </w:r>
      <w:r w:rsidR="00426F90" w:rsidRPr="00F4189E">
        <w:rPr>
          <w:rFonts w:ascii="Times New Roman" w:hAnsi="Times New Roman"/>
          <w:bCs/>
          <w:sz w:val="24"/>
          <w:szCs w:val="24"/>
          <w:lang w:val="uk-UA"/>
        </w:rPr>
        <w:t xml:space="preserve">у тому числі </w:t>
      </w:r>
      <w:r w:rsidR="00426F90" w:rsidRPr="00F4189E">
        <w:rPr>
          <w:rFonts w:ascii="Times New Roman" w:hAnsi="Times New Roman"/>
          <w:bCs/>
          <w:sz w:val="24"/>
          <w:szCs w:val="24"/>
          <w:lang w:val="uk-UA"/>
        </w:rPr>
        <w:t>215</w:t>
      </w:r>
      <w:r w:rsidR="00426F90" w:rsidRPr="00F4189E">
        <w:rPr>
          <w:rFonts w:ascii="Times New Roman" w:hAnsi="Times New Roman"/>
          <w:bCs/>
          <w:sz w:val="24"/>
          <w:szCs w:val="24"/>
          <w:lang w:val="uk-UA"/>
        </w:rPr>
        <w:t xml:space="preserve"> д</w:t>
      </w:r>
      <w:r w:rsidR="00426F90" w:rsidRPr="00F4189E">
        <w:rPr>
          <w:rFonts w:ascii="Times New Roman" w:hAnsi="Times New Roman"/>
          <w:bCs/>
          <w:sz w:val="24"/>
          <w:szCs w:val="24"/>
          <w:lang w:val="uk-UA"/>
        </w:rPr>
        <w:t>ітям</w:t>
      </w:r>
      <w:r w:rsidR="00426F90" w:rsidRPr="00F4189E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r w:rsidR="00426F90" w:rsidRPr="00F4189E">
        <w:rPr>
          <w:rFonts w:ascii="Times New Roman" w:hAnsi="Times New Roman"/>
          <w:bCs/>
          <w:sz w:val="24"/>
          <w:szCs w:val="24"/>
          <w:lang w:val="uk-UA"/>
        </w:rPr>
        <w:t>142</w:t>
      </w:r>
      <w:r w:rsidR="00426F90" w:rsidRPr="00F4189E">
        <w:rPr>
          <w:rFonts w:ascii="Times New Roman" w:hAnsi="Times New Roman"/>
          <w:bCs/>
          <w:sz w:val="24"/>
          <w:szCs w:val="24"/>
          <w:lang w:val="uk-UA"/>
        </w:rPr>
        <w:t xml:space="preserve"> – ВПО, із них </w:t>
      </w:r>
      <w:r w:rsidR="00426F90" w:rsidRPr="00F4189E">
        <w:rPr>
          <w:rFonts w:ascii="Times New Roman" w:hAnsi="Times New Roman"/>
          <w:bCs/>
          <w:sz w:val="24"/>
          <w:szCs w:val="24"/>
          <w:lang w:val="uk-UA"/>
        </w:rPr>
        <w:t>12</w:t>
      </w:r>
      <w:r w:rsidR="00426F90" w:rsidRPr="00F4189E">
        <w:rPr>
          <w:rFonts w:ascii="Times New Roman" w:hAnsi="Times New Roman"/>
          <w:bCs/>
          <w:sz w:val="24"/>
          <w:szCs w:val="24"/>
          <w:lang w:val="uk-UA"/>
        </w:rPr>
        <w:t xml:space="preserve"> дітям)</w:t>
      </w:r>
      <w:r w:rsidR="00426F90" w:rsidRPr="00F4189E">
        <w:rPr>
          <w:rFonts w:ascii="Times New Roman" w:hAnsi="Times New Roman"/>
          <w:bCs/>
          <w:sz w:val="24"/>
          <w:szCs w:val="24"/>
          <w:lang w:val="uk-UA"/>
        </w:rPr>
        <w:t xml:space="preserve"> (січень-березень 2025 року - </w:t>
      </w:r>
      <w:r w:rsidRPr="00F4189E">
        <w:rPr>
          <w:rFonts w:ascii="Times New Roman" w:hAnsi="Times New Roman"/>
          <w:bCs/>
          <w:sz w:val="24"/>
          <w:szCs w:val="24"/>
          <w:lang w:val="uk-UA"/>
        </w:rPr>
        <w:t>425 особам, у тому числі 212 дитині, 54 – ВПО, із них 9 дітям</w:t>
      </w:r>
      <w:r w:rsidR="00426F90" w:rsidRPr="00F4189E">
        <w:rPr>
          <w:rFonts w:ascii="Times New Roman" w:hAnsi="Times New Roman"/>
          <w:bCs/>
          <w:sz w:val="24"/>
          <w:szCs w:val="24"/>
          <w:lang w:val="uk-UA"/>
        </w:rPr>
        <w:t>)</w:t>
      </w:r>
      <w:r w:rsidRPr="00F4189E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D618DF8" w14:textId="29A8C120" w:rsidR="00DC421C" w:rsidRPr="00F4189E" w:rsidRDefault="00DC421C" w:rsidP="00E46FF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189E">
        <w:rPr>
          <w:rFonts w:ascii="Times New Roman" w:hAnsi="Times New Roman"/>
          <w:sz w:val="24"/>
          <w:szCs w:val="24"/>
          <w:lang w:val="uk-UA"/>
        </w:rPr>
        <w:t>З метою формування здорового способу життя та гігієнічного виховання населення наказом генерального директора визначена відповідальна особа за проведення системних заходів у сфері громадського здоров’я. Лікарями та середнім медичним персоналом закладу проводиться санітарно-просвітня робота щодо профілактики захворювань, здорового способу життя, так впродовж січня-березня 202</w:t>
      </w:r>
      <w:r w:rsidR="00E03E14" w:rsidRPr="00F4189E">
        <w:rPr>
          <w:rFonts w:ascii="Times New Roman" w:hAnsi="Times New Roman"/>
          <w:sz w:val="24"/>
          <w:szCs w:val="24"/>
          <w:lang w:val="uk-UA"/>
        </w:rPr>
        <w:t>6</w:t>
      </w:r>
      <w:r w:rsidRPr="00F4189E">
        <w:rPr>
          <w:rFonts w:ascii="Times New Roman" w:hAnsi="Times New Roman"/>
          <w:sz w:val="24"/>
          <w:szCs w:val="24"/>
          <w:lang w:val="uk-UA"/>
        </w:rPr>
        <w:t xml:space="preserve"> року фахівцями проведено всього заходів – </w:t>
      </w:r>
      <w:r w:rsidR="00E03E14" w:rsidRPr="00F4189E">
        <w:rPr>
          <w:rFonts w:ascii="Times New Roman" w:hAnsi="Times New Roman"/>
          <w:sz w:val="24"/>
          <w:szCs w:val="24"/>
          <w:lang w:val="uk-UA"/>
        </w:rPr>
        <w:t>2047, у тому числі: лекцій – 294, бесід 1753 (І квартал 2025 року -</w:t>
      </w:r>
      <w:r w:rsidR="0092380E" w:rsidRPr="00F4189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4189E">
        <w:rPr>
          <w:rFonts w:ascii="Times New Roman" w:hAnsi="Times New Roman"/>
          <w:sz w:val="24"/>
          <w:szCs w:val="24"/>
          <w:lang w:val="uk-UA"/>
        </w:rPr>
        <w:t>2579, у тому числі: лекцій – 282, бесід – 2295</w:t>
      </w:r>
      <w:r w:rsidR="00E03E14" w:rsidRPr="00F4189E">
        <w:rPr>
          <w:rFonts w:ascii="Times New Roman" w:hAnsi="Times New Roman"/>
          <w:sz w:val="24"/>
          <w:szCs w:val="24"/>
          <w:lang w:val="uk-UA"/>
        </w:rPr>
        <w:t xml:space="preserve"> відповідно)</w:t>
      </w:r>
      <w:r w:rsidRPr="00F4189E">
        <w:rPr>
          <w:rFonts w:ascii="Times New Roman" w:hAnsi="Times New Roman"/>
          <w:sz w:val="24"/>
          <w:szCs w:val="24"/>
          <w:lang w:val="uk-UA"/>
        </w:rPr>
        <w:t>.</w:t>
      </w:r>
    </w:p>
    <w:p w14:paraId="12903C56" w14:textId="77777777" w:rsidR="00DC421C" w:rsidRPr="00F4189E" w:rsidRDefault="00DC421C" w:rsidP="00E46FF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2676F88" w14:textId="77777777" w:rsidR="00EF7AB9" w:rsidRPr="00F4189E" w:rsidRDefault="00DC421C" w:rsidP="00EF7AB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189E">
        <w:rPr>
          <w:rFonts w:ascii="Times New Roman" w:hAnsi="Times New Roman"/>
          <w:sz w:val="24"/>
          <w:szCs w:val="24"/>
          <w:lang w:val="uk-UA"/>
        </w:rPr>
        <w:t>В закладі виконується Державна програма імунопрофілактики відповідно наказу МОЗ України від 16 вересня 2011 року №595 “Про порядок проведення профілактичних щеплень в Україні та контроль якості обігу медичних імунобіологічних препаратів“ (зі змінами), яким затверджено Національний календар профілактичних щеплень.</w:t>
      </w:r>
      <w:r w:rsidR="00EF7AB9" w:rsidRPr="00F4189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4189E">
        <w:rPr>
          <w:rFonts w:ascii="Times New Roman" w:hAnsi="Times New Roman"/>
          <w:sz w:val="24"/>
          <w:szCs w:val="24"/>
          <w:lang w:val="uk-UA"/>
        </w:rPr>
        <w:t xml:space="preserve">Забезпечено максимальне охоплення профілактичними щепленнями, як дитячого так і дорослого населення. </w:t>
      </w:r>
      <w:bookmarkStart w:id="0" w:name="_GoBack"/>
      <w:bookmarkEnd w:id="0"/>
    </w:p>
    <w:p w14:paraId="3533A2A6" w14:textId="7106C708" w:rsidR="00DC421C" w:rsidRPr="00F4189E" w:rsidRDefault="00DC421C" w:rsidP="00426F90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4189E">
        <w:rPr>
          <w:rFonts w:ascii="Times New Roman" w:hAnsi="Times New Roman"/>
          <w:b/>
          <w:bCs/>
          <w:sz w:val="24"/>
          <w:szCs w:val="24"/>
          <w:lang w:val="uk-UA"/>
        </w:rPr>
        <w:t>Впродовж січня-березня 202</w:t>
      </w:r>
      <w:r w:rsidR="00426F90" w:rsidRPr="00F4189E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Pr="00F4189E">
        <w:rPr>
          <w:rFonts w:ascii="Times New Roman" w:hAnsi="Times New Roman"/>
          <w:b/>
          <w:bCs/>
          <w:sz w:val="24"/>
          <w:szCs w:val="24"/>
          <w:lang w:val="uk-UA"/>
        </w:rPr>
        <w:t xml:space="preserve"> року проведено наступні профілактичні щеплення:</w:t>
      </w:r>
    </w:p>
    <w:tbl>
      <w:tblPr>
        <w:tblW w:w="9788" w:type="dxa"/>
        <w:tblInd w:w="-691" w:type="dxa"/>
        <w:tblLayout w:type="fixed"/>
        <w:tblLook w:val="0000" w:firstRow="0" w:lastRow="0" w:firstColumn="0" w:lastColumn="0" w:noHBand="0" w:noVBand="0"/>
      </w:tblPr>
      <w:tblGrid>
        <w:gridCol w:w="3947"/>
        <w:gridCol w:w="1701"/>
        <w:gridCol w:w="1588"/>
        <w:gridCol w:w="1134"/>
        <w:gridCol w:w="1418"/>
      </w:tblGrid>
      <w:tr w:rsidR="00426F90" w:rsidRPr="00F4189E" w14:paraId="698BDED3" w14:textId="77777777" w:rsidTr="00426F90">
        <w:trPr>
          <w:trHeight w:val="563"/>
        </w:trPr>
        <w:tc>
          <w:tcPr>
            <w:tcW w:w="39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BDAA4F7" w14:textId="77777777" w:rsidR="00426F90" w:rsidRPr="00F4189E" w:rsidRDefault="00426F90" w:rsidP="00426F90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747D6" w14:textId="77777777" w:rsidR="00426F90" w:rsidRPr="00F4189E" w:rsidRDefault="00426F90" w:rsidP="00426F90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План на 2026 р.</w:t>
            </w:r>
          </w:p>
          <w:p w14:paraId="028BA7C0" w14:textId="241D6264" w:rsidR="00426F90" w:rsidRPr="00F4189E" w:rsidRDefault="00426F90" w:rsidP="00426F90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всього / за віком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92C219A" w14:textId="77777777" w:rsidR="00426F90" w:rsidRPr="00F4189E" w:rsidRDefault="00426F90" w:rsidP="00426F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Виконано за 2026р., </w:t>
            </w:r>
          </w:p>
          <w:p w14:paraId="53080283" w14:textId="61FD3020" w:rsidR="00426F90" w:rsidRPr="00F4189E" w:rsidRDefault="00426F90" w:rsidP="00426F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станом на 25.03.26р.</w:t>
            </w:r>
          </w:p>
          <w:p w14:paraId="7555435D" w14:textId="77777777" w:rsidR="00426F90" w:rsidRPr="00F4189E" w:rsidRDefault="00426F90" w:rsidP="00426F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всього / за віком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8A5E9" w14:textId="7C4AC63F" w:rsidR="00426F90" w:rsidRPr="00F4189E" w:rsidRDefault="00426F90" w:rsidP="00426F90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% 2026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0AA23" w14:textId="4C67E119" w:rsidR="00426F90" w:rsidRPr="00F4189E" w:rsidRDefault="00426F90" w:rsidP="00426F90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% 2025 рік</w:t>
            </w:r>
          </w:p>
        </w:tc>
      </w:tr>
      <w:tr w:rsidR="00426F90" w:rsidRPr="00F4189E" w14:paraId="377388FE" w14:textId="77777777" w:rsidTr="00F4189E">
        <w:trPr>
          <w:trHeight w:val="239"/>
        </w:trPr>
        <w:tc>
          <w:tcPr>
            <w:tcW w:w="394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5F023E3" w14:textId="77777777" w:rsidR="00426F90" w:rsidRPr="00F4189E" w:rsidRDefault="00426F90" w:rsidP="00426F90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89D9022" w14:textId="77777777" w:rsidR="00426F90" w:rsidRPr="00F4189E" w:rsidRDefault="00426F90" w:rsidP="00426F90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Станом на 01.11.2025р.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F4BEF" w14:textId="77777777" w:rsidR="00426F90" w:rsidRPr="00F4189E" w:rsidRDefault="00426F90" w:rsidP="00426F90">
            <w:pPr>
              <w:spacing w:line="240" w:lineRule="auto"/>
              <w:ind w:firstLine="567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0D2A8" w14:textId="77777777" w:rsidR="00426F90" w:rsidRPr="00F4189E" w:rsidRDefault="00426F90" w:rsidP="00426F90">
            <w:pPr>
              <w:spacing w:line="240" w:lineRule="auto"/>
              <w:ind w:firstLine="567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19E7823" w14:textId="77777777" w:rsidR="00426F90" w:rsidRPr="00F4189E" w:rsidRDefault="00426F90" w:rsidP="00426F90">
            <w:pPr>
              <w:spacing w:line="240" w:lineRule="auto"/>
              <w:ind w:firstLine="567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26F90" w:rsidRPr="00F4189E" w14:paraId="30059E4F" w14:textId="77777777" w:rsidTr="00426F90">
        <w:trPr>
          <w:trHeight w:val="949"/>
        </w:trPr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B4D8A" w14:textId="77777777" w:rsidR="00426F90" w:rsidRPr="00F4189E" w:rsidRDefault="00426F90" w:rsidP="00426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Вакцинація проти дифтерії та правця:</w:t>
            </w:r>
          </w:p>
          <w:p w14:paraId="18DE4344" w14:textId="77777777" w:rsidR="00426F90" w:rsidRPr="00F4189E" w:rsidRDefault="00426F90" w:rsidP="00426F9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57BAA78F" w14:textId="26334B58" w:rsidR="00426F90" w:rsidRPr="00F4189E" w:rsidRDefault="00426F90" w:rsidP="00426F9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І доза</w:t>
            </w:r>
          </w:p>
          <w:p w14:paraId="2EBAFF87" w14:textId="77777777" w:rsidR="00426F90" w:rsidRPr="00F4189E" w:rsidRDefault="00426F90" w:rsidP="00426F9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ІІ доза</w:t>
            </w:r>
          </w:p>
          <w:p w14:paraId="56E9AB11" w14:textId="77777777" w:rsidR="00426F90" w:rsidRPr="00F4189E" w:rsidRDefault="00426F90" w:rsidP="00426F9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ІІІ доза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54A0E3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12AD0C05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13B2D058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281</w:t>
            </w:r>
          </w:p>
          <w:p w14:paraId="4DEF801B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281</w:t>
            </w:r>
          </w:p>
          <w:p w14:paraId="7812783A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292/281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79B42E7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1A627F3F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4FB859F2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84</w:t>
            </w:r>
          </w:p>
          <w:p w14:paraId="6E5F6C62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85</w:t>
            </w:r>
          </w:p>
          <w:p w14:paraId="5DCDD2C7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85/84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1BFAC7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18708002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2EEB8CCB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40,5</w:t>
            </w:r>
          </w:p>
          <w:p w14:paraId="1D8506D7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40,5</w:t>
            </w:r>
          </w:p>
          <w:p w14:paraId="13641756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DFFEAF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093A3B25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19FBBD6F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25,9</w:t>
            </w:r>
          </w:p>
          <w:p w14:paraId="699EFE44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22,0</w:t>
            </w:r>
          </w:p>
          <w:p w14:paraId="138D5514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24,5</w:t>
            </w:r>
          </w:p>
        </w:tc>
      </w:tr>
      <w:tr w:rsidR="00426F90" w:rsidRPr="00F4189E" w14:paraId="588CAB94" w14:textId="77777777" w:rsidTr="00426F90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6FF75" w14:textId="77777777" w:rsidR="00426F90" w:rsidRPr="00F4189E" w:rsidRDefault="00426F90" w:rsidP="00426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Ревакцинація проти дифтерії: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D325A3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2087/2035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057BAE7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556/554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A9FDD7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7C1DB5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24,3</w:t>
            </w:r>
          </w:p>
        </w:tc>
      </w:tr>
      <w:tr w:rsidR="00426F90" w:rsidRPr="00F4189E" w14:paraId="02C27A65" w14:textId="77777777" w:rsidTr="00426F90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F2C4D" w14:textId="77777777" w:rsidR="00426F90" w:rsidRPr="00F4189E" w:rsidRDefault="00426F90" w:rsidP="00426F9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18  міс.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735027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355/343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2D6BB44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93/93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DAE40B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6B204A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24,3</w:t>
            </w:r>
          </w:p>
        </w:tc>
      </w:tr>
      <w:tr w:rsidR="00426F90" w:rsidRPr="00F4189E" w14:paraId="2B9E81FB" w14:textId="77777777" w:rsidTr="00426F90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E1369" w14:textId="77777777" w:rsidR="00426F90" w:rsidRPr="00F4189E" w:rsidRDefault="00426F90" w:rsidP="00426F9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6 років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9B8F1E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687/662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5CE58EE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159/159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364C92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245A07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24,3</w:t>
            </w:r>
          </w:p>
        </w:tc>
      </w:tr>
      <w:tr w:rsidR="00426F90" w:rsidRPr="00F4189E" w14:paraId="40AF05CD" w14:textId="77777777" w:rsidTr="00426F90">
        <w:trPr>
          <w:trHeight w:val="70"/>
        </w:trPr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D3FF0" w14:textId="77777777" w:rsidR="00426F90" w:rsidRPr="00F4189E" w:rsidRDefault="00426F90" w:rsidP="00426F9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16 років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BADE82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1045/1030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DF71909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297/295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885931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D28E6E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24,4</w:t>
            </w:r>
          </w:p>
        </w:tc>
      </w:tr>
      <w:tr w:rsidR="00426F90" w:rsidRPr="00F4189E" w14:paraId="5FEC9AAC" w14:textId="77777777" w:rsidTr="00426F90">
        <w:trPr>
          <w:trHeight w:val="127"/>
        </w:trPr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E5C6C" w14:textId="77777777" w:rsidR="00426F90" w:rsidRPr="00F4189E" w:rsidRDefault="00426F90" w:rsidP="00426F9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Дорослі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AC51A2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1296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CC488C0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476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BED981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36,7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AB2D10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31,5</w:t>
            </w:r>
          </w:p>
        </w:tc>
      </w:tr>
      <w:tr w:rsidR="00426F90" w:rsidRPr="00F4189E" w14:paraId="37623869" w14:textId="77777777" w:rsidTr="00426F90">
        <w:trPr>
          <w:trHeight w:val="565"/>
        </w:trPr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6ACDA" w14:textId="77777777" w:rsidR="00426F90" w:rsidRPr="00F4189E" w:rsidRDefault="00426F90" w:rsidP="00426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Вакцинація проти поліомієліту:</w:t>
            </w:r>
          </w:p>
          <w:p w14:paraId="7BE63E10" w14:textId="77777777" w:rsidR="00426F90" w:rsidRPr="00F4189E" w:rsidRDefault="00426F90" w:rsidP="00426F9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1C51DE0C" w14:textId="056E84B8" w:rsidR="00426F90" w:rsidRPr="00F4189E" w:rsidRDefault="00426F90" w:rsidP="00426F9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І доза</w:t>
            </w:r>
          </w:p>
          <w:p w14:paraId="0BC02457" w14:textId="77777777" w:rsidR="00426F90" w:rsidRPr="00F4189E" w:rsidRDefault="00426F90" w:rsidP="00426F9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ІІ доза</w:t>
            </w:r>
          </w:p>
          <w:p w14:paraId="653ED700" w14:textId="77777777" w:rsidR="00426F90" w:rsidRPr="00F4189E" w:rsidRDefault="00426F90" w:rsidP="00426F9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ІІІ доза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CAFA16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23E8E4BA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389B7908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281</w:t>
            </w:r>
          </w:p>
          <w:p w14:paraId="3F7EE9FE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281</w:t>
            </w:r>
          </w:p>
          <w:p w14:paraId="02E3970F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292/281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026CF7F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1BF32C0F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5AEDFBA9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111</w:t>
            </w:r>
          </w:p>
          <w:p w14:paraId="76DC75C8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116</w:t>
            </w:r>
          </w:p>
          <w:p w14:paraId="029F6F5F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89/86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8050C6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0AA79DCB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5B5D2167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39,5</w:t>
            </w:r>
          </w:p>
          <w:p w14:paraId="1ED75026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41,3</w:t>
            </w:r>
          </w:p>
          <w:p w14:paraId="452A9294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30,5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460A44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530485A7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6F884549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25,9</w:t>
            </w:r>
          </w:p>
          <w:p w14:paraId="59D6F7C1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22,2</w:t>
            </w:r>
          </w:p>
          <w:p w14:paraId="26EB993B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24,7</w:t>
            </w:r>
          </w:p>
        </w:tc>
      </w:tr>
      <w:tr w:rsidR="00426F90" w:rsidRPr="00F4189E" w14:paraId="56A7E493" w14:textId="77777777" w:rsidTr="00426F90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6E20F" w14:textId="3D958FCA" w:rsidR="00426F90" w:rsidRPr="00F4189E" w:rsidRDefault="00426F90" w:rsidP="00426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Ревакцинація проти поліомієліту: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8B5576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1042/1008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35A34A9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259/258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A2F1FE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2A5266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24,5</w:t>
            </w:r>
          </w:p>
        </w:tc>
      </w:tr>
      <w:tr w:rsidR="00426F90" w:rsidRPr="00F4189E" w14:paraId="021DE5E7" w14:textId="77777777" w:rsidTr="00426F90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8CD39" w14:textId="77777777" w:rsidR="00426F90" w:rsidRPr="00F4189E" w:rsidRDefault="00426F90" w:rsidP="00426F9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18 міс.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E5B3D0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355/343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72FFD91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93/92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1F8DB4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8BE6B1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23,8</w:t>
            </w:r>
          </w:p>
        </w:tc>
      </w:tr>
      <w:tr w:rsidR="00426F90" w:rsidRPr="00F4189E" w14:paraId="2C8A2706" w14:textId="77777777" w:rsidTr="00426F90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97AFA" w14:textId="77777777" w:rsidR="00426F90" w:rsidRPr="00F4189E" w:rsidRDefault="00426F90" w:rsidP="00426F9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6 років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BF9B2C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687/665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FB0A300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166/166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6A23CC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24,2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EC190E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25,6</w:t>
            </w:r>
          </w:p>
        </w:tc>
      </w:tr>
      <w:tr w:rsidR="00426F90" w:rsidRPr="00F4189E" w14:paraId="3D4F6461" w14:textId="77777777" w:rsidTr="00426F90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7CB40" w14:textId="77777777" w:rsidR="00426F90" w:rsidRPr="00F4189E" w:rsidRDefault="00426F90" w:rsidP="00426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Вакцинація проти кашлюку 1 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0D2754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292/281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4AA6328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85/84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AAE4B9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157C53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24,5</w:t>
            </w:r>
          </w:p>
        </w:tc>
      </w:tr>
      <w:tr w:rsidR="00426F90" w:rsidRPr="00F4189E" w14:paraId="50D20EA2" w14:textId="77777777" w:rsidTr="00426F90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FE22E" w14:textId="643EB027" w:rsidR="00426F90" w:rsidRPr="00F4189E" w:rsidRDefault="00426F90" w:rsidP="00426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Ревакцинація проти кашлюку 18 міс.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C4EA62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355/343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4608C1E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93/93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EC1E8F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5D2E9D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24,3</w:t>
            </w:r>
          </w:p>
        </w:tc>
      </w:tr>
      <w:tr w:rsidR="00426F90" w:rsidRPr="00F4189E" w14:paraId="1EF266C9" w14:textId="77777777" w:rsidTr="00426F90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82F46" w14:textId="77777777" w:rsidR="00426F90" w:rsidRPr="00F4189E" w:rsidRDefault="00426F90" w:rsidP="00426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Вакцинація проти кору, паротиту, краснухи, 1 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8A62C6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291/281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BFC37AB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71/71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F09123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24,4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FCA27D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26,2</w:t>
            </w:r>
          </w:p>
        </w:tc>
      </w:tr>
      <w:tr w:rsidR="00426F90" w:rsidRPr="00F4189E" w14:paraId="23FB140B" w14:textId="77777777" w:rsidTr="00426F90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DEA89" w14:textId="77777777" w:rsidR="00426F90" w:rsidRPr="00F4189E" w:rsidRDefault="00426F90" w:rsidP="00426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Ревакцинація проти кору, паротиту, краснухи, 4 роки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FB687B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472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4E400F1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04D141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DC6AD3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25,0</w:t>
            </w:r>
          </w:p>
        </w:tc>
      </w:tr>
      <w:tr w:rsidR="00426F90" w:rsidRPr="00F4189E" w14:paraId="1F8E73A1" w14:textId="77777777" w:rsidTr="00426F90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CB958" w14:textId="77777777" w:rsidR="00426F90" w:rsidRPr="00F4189E" w:rsidRDefault="00426F90" w:rsidP="00426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Ревакцинація проти кору, паротиту, краснухи, 5 років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9F4C86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563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047655A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082223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47,0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125689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426F90" w:rsidRPr="00F4189E" w14:paraId="25E6C3E4" w14:textId="77777777" w:rsidTr="00426F90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6A142" w14:textId="77777777" w:rsidR="00426F90" w:rsidRPr="00F4189E" w:rsidRDefault="00426F90" w:rsidP="00426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Ревакцинація проти кору, паротиту, краснухи, 6років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953C8A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662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E4052A0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AE8B74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17,0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28DE58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426F90" w:rsidRPr="00F4189E" w14:paraId="72768CDA" w14:textId="77777777" w:rsidTr="00426F90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5C737" w14:textId="77777777" w:rsidR="00426F90" w:rsidRPr="00F4189E" w:rsidRDefault="00426F90" w:rsidP="00426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Вакцинація проти туберкульозу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E8441A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18/15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C8958FC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279696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C8C692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22,2</w:t>
            </w:r>
          </w:p>
        </w:tc>
      </w:tr>
      <w:tr w:rsidR="00426F90" w:rsidRPr="00F4189E" w14:paraId="7B349C73" w14:textId="77777777" w:rsidTr="00426F90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681C7" w14:textId="77777777" w:rsidR="00426F90" w:rsidRPr="00F4189E" w:rsidRDefault="00426F90" w:rsidP="00426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Вакцинація проти ВГ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AD8F6E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292/281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2642429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122/116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CC1162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41,7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C3CA4D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31,0</w:t>
            </w:r>
          </w:p>
        </w:tc>
      </w:tr>
      <w:tr w:rsidR="00426F90" w:rsidRPr="00F4189E" w14:paraId="4246B309" w14:textId="77777777" w:rsidTr="00426F90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2D5A0" w14:textId="77777777" w:rsidR="00426F90" w:rsidRPr="00F4189E" w:rsidRDefault="00426F90" w:rsidP="00426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Вакцинація проти </w:t>
            </w:r>
            <w:proofErr w:type="spellStart"/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гемофільної</w:t>
            </w:r>
            <w:proofErr w:type="spellEnd"/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інф</w:t>
            </w:r>
            <w:proofErr w:type="spellEnd"/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AA19B0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281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6A8687B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BCED9C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35,2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F4329E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19,0</w:t>
            </w:r>
          </w:p>
        </w:tc>
      </w:tr>
      <w:tr w:rsidR="00426F90" w:rsidRPr="00F4189E" w14:paraId="4F5EEAE9" w14:textId="77777777" w:rsidTr="00426F90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F3FBB" w14:textId="77777777" w:rsidR="00426F90" w:rsidRPr="00F4189E" w:rsidRDefault="00426F90" w:rsidP="00426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Ревакцинація проти </w:t>
            </w:r>
            <w:proofErr w:type="spellStart"/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гемофільної</w:t>
            </w:r>
            <w:proofErr w:type="spellEnd"/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інф</w:t>
            </w:r>
            <w:proofErr w:type="spellEnd"/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4CAC25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168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C74DEA9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8EBD5B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031C3B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25,0</w:t>
            </w:r>
          </w:p>
        </w:tc>
      </w:tr>
      <w:tr w:rsidR="00426F90" w:rsidRPr="00F4189E" w14:paraId="5ADF1A4D" w14:textId="77777777" w:rsidTr="00426F90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63EF0" w14:textId="576AFA18" w:rsidR="00426F90" w:rsidRPr="00F4189E" w:rsidRDefault="00426F90" w:rsidP="00426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Тубдіагностика</w:t>
            </w:r>
            <w:proofErr w:type="spellEnd"/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:  0-18 років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D942E0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267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9E73C01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F5C7C9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27,3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FE2BB2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25,1</w:t>
            </w:r>
          </w:p>
        </w:tc>
      </w:tr>
      <w:tr w:rsidR="00426F90" w:rsidRPr="00F4189E" w14:paraId="1D4A404C" w14:textId="77777777" w:rsidTr="00426F90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0DAD5" w14:textId="77777777" w:rsidR="00426F90" w:rsidRPr="00F4189E" w:rsidRDefault="00426F90" w:rsidP="00426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Вакц</w:t>
            </w:r>
            <w:proofErr w:type="spellEnd"/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. проти ПВЛ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D7F593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909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2F4B3DD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A4E641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26,4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21EB3C" w14:textId="77777777" w:rsidR="00426F90" w:rsidRPr="00F4189E" w:rsidRDefault="00426F90" w:rsidP="00426F9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4189E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</w:tbl>
    <w:p w14:paraId="38ADF52C" w14:textId="04A37A18" w:rsidR="00426F90" w:rsidRPr="00F4189E" w:rsidRDefault="00426F90" w:rsidP="00EF7AB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6E6B563" w14:textId="60583505" w:rsidR="00426F90" w:rsidRPr="00F4189E" w:rsidRDefault="004637BD" w:rsidP="00F4189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4189E">
        <w:rPr>
          <w:rFonts w:ascii="Times New Roman" w:hAnsi="Times New Roman"/>
          <w:sz w:val="24"/>
          <w:szCs w:val="24"/>
          <w:lang w:val="uk-UA"/>
        </w:rPr>
        <w:t>Своєчасність</w:t>
      </w:r>
      <w:proofErr w:type="spellEnd"/>
      <w:r w:rsidRPr="00F4189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4189E">
        <w:rPr>
          <w:rFonts w:ascii="Times New Roman" w:hAnsi="Times New Roman"/>
          <w:sz w:val="24"/>
          <w:szCs w:val="24"/>
          <w:lang w:val="uk-UA"/>
        </w:rPr>
        <w:t>проведення</w:t>
      </w:r>
      <w:proofErr w:type="spellEnd"/>
      <w:r w:rsidRPr="00F4189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4189E">
        <w:rPr>
          <w:rFonts w:ascii="Times New Roman" w:hAnsi="Times New Roman"/>
          <w:sz w:val="24"/>
          <w:szCs w:val="24"/>
          <w:lang w:val="uk-UA"/>
        </w:rPr>
        <w:t>первинного</w:t>
      </w:r>
      <w:proofErr w:type="spellEnd"/>
      <w:r w:rsidRPr="00F4189E">
        <w:rPr>
          <w:rFonts w:ascii="Times New Roman" w:hAnsi="Times New Roman"/>
          <w:sz w:val="24"/>
          <w:szCs w:val="24"/>
          <w:lang w:val="uk-UA"/>
        </w:rPr>
        <w:t xml:space="preserve"> вакцинального комплексу </w:t>
      </w:r>
      <w:proofErr w:type="spellStart"/>
      <w:r w:rsidRPr="00F4189E">
        <w:rPr>
          <w:rFonts w:ascii="Times New Roman" w:hAnsi="Times New Roman"/>
          <w:sz w:val="24"/>
          <w:szCs w:val="24"/>
          <w:lang w:val="uk-UA"/>
        </w:rPr>
        <w:t>дітям</w:t>
      </w:r>
      <w:proofErr w:type="spellEnd"/>
      <w:r w:rsidRPr="00F4189E">
        <w:rPr>
          <w:rFonts w:ascii="Times New Roman" w:hAnsi="Times New Roman"/>
          <w:sz w:val="24"/>
          <w:szCs w:val="24"/>
          <w:lang w:val="uk-UA"/>
        </w:rPr>
        <w:t xml:space="preserve"> до 1 року (в %) 97,4% (січень-березень 2025 року </w:t>
      </w:r>
      <w:r w:rsidR="00F4189E" w:rsidRPr="00F4189E">
        <w:rPr>
          <w:rFonts w:ascii="Times New Roman" w:hAnsi="Times New Roman"/>
          <w:sz w:val="24"/>
          <w:szCs w:val="24"/>
          <w:lang w:val="uk-UA"/>
        </w:rPr>
        <w:t>–</w:t>
      </w:r>
      <w:r w:rsidRPr="00F4189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4189E" w:rsidRPr="00F4189E">
        <w:rPr>
          <w:rFonts w:ascii="Times New Roman" w:hAnsi="Times New Roman"/>
          <w:sz w:val="24"/>
          <w:szCs w:val="24"/>
          <w:lang w:val="uk-UA"/>
        </w:rPr>
        <w:t>93,0%).</w:t>
      </w:r>
    </w:p>
    <w:p w14:paraId="101F3311" w14:textId="77777777" w:rsidR="0092380E" w:rsidRPr="00F4189E" w:rsidRDefault="0092380E" w:rsidP="009238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189E">
        <w:rPr>
          <w:rFonts w:ascii="Times New Roman" w:hAnsi="Times New Roman"/>
          <w:sz w:val="24"/>
          <w:szCs w:val="24"/>
          <w:lang w:val="uk-UA"/>
        </w:rPr>
        <w:t>З початку воєнної агресії  в закладі проведено 3060 щеплень для профілактики інфекційних захворювань внутрішньо переміщеним особам:</w:t>
      </w:r>
    </w:p>
    <w:p w14:paraId="17F6CCE0" w14:textId="77777777" w:rsidR="0092380E" w:rsidRPr="00F4189E" w:rsidRDefault="0092380E" w:rsidP="009238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189E">
        <w:rPr>
          <w:rFonts w:ascii="Times New Roman" w:hAnsi="Times New Roman"/>
          <w:sz w:val="24"/>
          <w:szCs w:val="24"/>
          <w:lang w:val="uk-UA"/>
        </w:rPr>
        <w:tab/>
        <w:t>для профілактики кашлюку, дифтерії правця -  553,</w:t>
      </w:r>
    </w:p>
    <w:p w14:paraId="721E5B9A" w14:textId="77777777" w:rsidR="0092380E" w:rsidRPr="00F4189E" w:rsidRDefault="0092380E" w:rsidP="009238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189E">
        <w:rPr>
          <w:rFonts w:ascii="Times New Roman" w:hAnsi="Times New Roman"/>
          <w:sz w:val="24"/>
          <w:szCs w:val="24"/>
          <w:lang w:val="uk-UA"/>
        </w:rPr>
        <w:tab/>
        <w:t>з них: у віці до 1 року – 340,</w:t>
      </w:r>
    </w:p>
    <w:p w14:paraId="11AD25EC" w14:textId="416E2283" w:rsidR="0092380E" w:rsidRPr="00F4189E" w:rsidRDefault="0092380E" w:rsidP="009238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189E">
        <w:rPr>
          <w:rFonts w:ascii="Times New Roman" w:hAnsi="Times New Roman"/>
          <w:sz w:val="24"/>
          <w:szCs w:val="24"/>
          <w:lang w:val="uk-UA"/>
        </w:rPr>
        <w:tab/>
        <w:t xml:space="preserve">          </w:t>
      </w:r>
      <w:r w:rsidR="00F35BFA" w:rsidRPr="00F4189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4189E">
        <w:rPr>
          <w:rFonts w:ascii="Times New Roman" w:hAnsi="Times New Roman"/>
          <w:sz w:val="24"/>
          <w:szCs w:val="24"/>
          <w:lang w:val="uk-UA"/>
        </w:rPr>
        <w:t>у віці до 2 років – 213;</w:t>
      </w:r>
      <w:r w:rsidRPr="00F4189E">
        <w:rPr>
          <w:rFonts w:ascii="Times New Roman" w:hAnsi="Times New Roman"/>
          <w:sz w:val="24"/>
          <w:szCs w:val="24"/>
          <w:lang w:val="uk-UA"/>
        </w:rPr>
        <w:tab/>
      </w:r>
      <w:r w:rsidRPr="00F4189E">
        <w:rPr>
          <w:rFonts w:ascii="Times New Roman" w:hAnsi="Times New Roman"/>
          <w:sz w:val="24"/>
          <w:szCs w:val="24"/>
          <w:lang w:val="uk-UA"/>
        </w:rPr>
        <w:tab/>
      </w:r>
      <w:r w:rsidRPr="00F4189E">
        <w:rPr>
          <w:rFonts w:ascii="Times New Roman" w:hAnsi="Times New Roman"/>
          <w:sz w:val="24"/>
          <w:szCs w:val="24"/>
          <w:lang w:val="uk-UA"/>
        </w:rPr>
        <w:tab/>
      </w:r>
      <w:r w:rsidRPr="00F4189E">
        <w:rPr>
          <w:rFonts w:ascii="Times New Roman" w:hAnsi="Times New Roman"/>
          <w:sz w:val="24"/>
          <w:szCs w:val="24"/>
          <w:lang w:val="uk-UA"/>
        </w:rPr>
        <w:tab/>
      </w:r>
      <w:r w:rsidRPr="00F4189E">
        <w:rPr>
          <w:rFonts w:ascii="Times New Roman" w:hAnsi="Times New Roman"/>
          <w:sz w:val="24"/>
          <w:szCs w:val="24"/>
          <w:lang w:val="uk-UA"/>
        </w:rPr>
        <w:tab/>
      </w:r>
    </w:p>
    <w:p w14:paraId="3A9495B1" w14:textId="77777777" w:rsidR="0092380E" w:rsidRPr="00F4189E" w:rsidRDefault="0092380E" w:rsidP="009238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189E">
        <w:rPr>
          <w:rFonts w:ascii="Times New Roman" w:hAnsi="Times New Roman"/>
          <w:sz w:val="24"/>
          <w:szCs w:val="24"/>
          <w:lang w:val="uk-UA"/>
        </w:rPr>
        <w:tab/>
        <w:t>для профілактики дифтерії, правця – 491,</w:t>
      </w:r>
    </w:p>
    <w:p w14:paraId="713F81A9" w14:textId="77777777" w:rsidR="0092380E" w:rsidRPr="00F4189E" w:rsidRDefault="0092380E" w:rsidP="009238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189E">
        <w:rPr>
          <w:rFonts w:ascii="Times New Roman" w:hAnsi="Times New Roman"/>
          <w:sz w:val="24"/>
          <w:szCs w:val="24"/>
          <w:lang w:val="uk-UA"/>
        </w:rPr>
        <w:tab/>
        <w:t>з них: у віці 6 років – 247,</w:t>
      </w:r>
    </w:p>
    <w:p w14:paraId="2C5E32D9" w14:textId="67EE70E6" w:rsidR="0092380E" w:rsidRPr="00F4189E" w:rsidRDefault="0092380E" w:rsidP="009238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189E">
        <w:rPr>
          <w:rFonts w:ascii="Times New Roman" w:hAnsi="Times New Roman"/>
          <w:sz w:val="24"/>
          <w:szCs w:val="24"/>
          <w:lang w:val="uk-UA"/>
        </w:rPr>
        <w:tab/>
      </w:r>
      <w:r w:rsidR="00F35BFA" w:rsidRPr="00F4189E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F4189E">
        <w:rPr>
          <w:rFonts w:ascii="Times New Roman" w:hAnsi="Times New Roman"/>
          <w:sz w:val="24"/>
          <w:szCs w:val="24"/>
          <w:lang w:val="uk-UA"/>
        </w:rPr>
        <w:t>у віці 16 років – 244;</w:t>
      </w:r>
    </w:p>
    <w:p w14:paraId="34D16B73" w14:textId="77777777" w:rsidR="0092380E" w:rsidRPr="00F4189E" w:rsidRDefault="0092380E" w:rsidP="009238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189E">
        <w:rPr>
          <w:rFonts w:ascii="Times New Roman" w:hAnsi="Times New Roman"/>
          <w:sz w:val="24"/>
          <w:szCs w:val="24"/>
          <w:lang w:val="uk-UA"/>
        </w:rPr>
        <w:tab/>
        <w:t>для профілактики поліомієліту  - 958;</w:t>
      </w:r>
    </w:p>
    <w:p w14:paraId="6113F297" w14:textId="77777777" w:rsidR="0092380E" w:rsidRPr="00F4189E" w:rsidRDefault="0092380E" w:rsidP="009238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189E">
        <w:rPr>
          <w:rFonts w:ascii="Times New Roman" w:hAnsi="Times New Roman"/>
          <w:sz w:val="24"/>
          <w:szCs w:val="24"/>
          <w:lang w:val="uk-UA"/>
        </w:rPr>
        <w:tab/>
        <w:t>для профілактики кору, паротиту, краснухи – 372,</w:t>
      </w:r>
    </w:p>
    <w:p w14:paraId="554E8690" w14:textId="77777777" w:rsidR="0092380E" w:rsidRPr="00F4189E" w:rsidRDefault="0092380E" w:rsidP="009238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189E">
        <w:rPr>
          <w:rFonts w:ascii="Times New Roman" w:hAnsi="Times New Roman"/>
          <w:sz w:val="24"/>
          <w:szCs w:val="24"/>
          <w:lang w:val="uk-UA"/>
        </w:rPr>
        <w:tab/>
        <w:t>з них у віці 1 року – 117;</w:t>
      </w:r>
    </w:p>
    <w:p w14:paraId="408D17E2" w14:textId="77777777" w:rsidR="0092380E" w:rsidRPr="00F4189E" w:rsidRDefault="0092380E" w:rsidP="009238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189E">
        <w:rPr>
          <w:rFonts w:ascii="Times New Roman" w:hAnsi="Times New Roman"/>
          <w:sz w:val="24"/>
          <w:szCs w:val="24"/>
          <w:lang w:val="uk-UA"/>
        </w:rPr>
        <w:tab/>
        <w:t>у віці 6 років -255;</w:t>
      </w:r>
    </w:p>
    <w:p w14:paraId="7FD9FD35" w14:textId="77777777" w:rsidR="0092380E" w:rsidRPr="00F4189E" w:rsidRDefault="0092380E" w:rsidP="009238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189E">
        <w:rPr>
          <w:rFonts w:ascii="Times New Roman" w:hAnsi="Times New Roman"/>
          <w:sz w:val="24"/>
          <w:szCs w:val="24"/>
          <w:lang w:val="uk-UA"/>
        </w:rPr>
        <w:tab/>
        <w:t>для профілактики туберкульозу – 17;</w:t>
      </w:r>
    </w:p>
    <w:p w14:paraId="68D3DEBA" w14:textId="77777777" w:rsidR="0092380E" w:rsidRPr="00F4189E" w:rsidRDefault="0092380E" w:rsidP="009238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189E">
        <w:rPr>
          <w:rFonts w:ascii="Times New Roman" w:hAnsi="Times New Roman"/>
          <w:sz w:val="24"/>
          <w:szCs w:val="24"/>
          <w:lang w:val="uk-UA"/>
        </w:rPr>
        <w:tab/>
        <w:t>для профілактики вірусного гепатиту В – 208;</w:t>
      </w:r>
    </w:p>
    <w:p w14:paraId="231464CE" w14:textId="77777777" w:rsidR="0092380E" w:rsidRPr="00F4189E" w:rsidRDefault="0092380E" w:rsidP="009238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189E">
        <w:rPr>
          <w:rFonts w:ascii="Times New Roman" w:hAnsi="Times New Roman"/>
          <w:sz w:val="24"/>
          <w:szCs w:val="24"/>
          <w:lang w:val="uk-UA"/>
        </w:rPr>
        <w:tab/>
        <w:t xml:space="preserve">для профілактики </w:t>
      </w:r>
      <w:proofErr w:type="spellStart"/>
      <w:r w:rsidRPr="00F4189E">
        <w:rPr>
          <w:rFonts w:ascii="Times New Roman" w:hAnsi="Times New Roman"/>
          <w:sz w:val="24"/>
          <w:szCs w:val="24"/>
          <w:lang w:val="uk-UA"/>
        </w:rPr>
        <w:t>гемофільної</w:t>
      </w:r>
      <w:proofErr w:type="spellEnd"/>
      <w:r w:rsidRPr="00F4189E">
        <w:rPr>
          <w:rFonts w:ascii="Times New Roman" w:hAnsi="Times New Roman"/>
          <w:sz w:val="24"/>
          <w:szCs w:val="24"/>
          <w:lang w:val="uk-UA"/>
        </w:rPr>
        <w:t xml:space="preserve"> інфекції – 219;</w:t>
      </w:r>
    </w:p>
    <w:p w14:paraId="606C0781" w14:textId="77777777" w:rsidR="0092380E" w:rsidRPr="00F4189E" w:rsidRDefault="0092380E" w:rsidP="009238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189E">
        <w:rPr>
          <w:rFonts w:ascii="Times New Roman" w:hAnsi="Times New Roman"/>
          <w:sz w:val="24"/>
          <w:szCs w:val="24"/>
          <w:lang w:val="uk-UA"/>
        </w:rPr>
        <w:tab/>
        <w:t xml:space="preserve">для профілактики менінгококової, пневмококової, </w:t>
      </w:r>
      <w:proofErr w:type="spellStart"/>
      <w:r w:rsidRPr="00F4189E">
        <w:rPr>
          <w:rFonts w:ascii="Times New Roman" w:hAnsi="Times New Roman"/>
          <w:sz w:val="24"/>
          <w:szCs w:val="24"/>
          <w:lang w:val="uk-UA"/>
        </w:rPr>
        <w:t>ротавірусної</w:t>
      </w:r>
      <w:proofErr w:type="spellEnd"/>
      <w:r w:rsidRPr="00F4189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4189E">
        <w:rPr>
          <w:rFonts w:ascii="Times New Roman" w:hAnsi="Times New Roman"/>
          <w:sz w:val="24"/>
          <w:szCs w:val="24"/>
          <w:lang w:val="uk-UA"/>
        </w:rPr>
        <w:t>інф</w:t>
      </w:r>
      <w:proofErr w:type="spellEnd"/>
      <w:r w:rsidRPr="00F4189E">
        <w:rPr>
          <w:rFonts w:ascii="Times New Roman" w:hAnsi="Times New Roman"/>
          <w:sz w:val="24"/>
          <w:szCs w:val="24"/>
          <w:lang w:val="uk-UA"/>
        </w:rPr>
        <w:t>. – 37;</w:t>
      </w:r>
    </w:p>
    <w:p w14:paraId="2B68C372" w14:textId="77777777" w:rsidR="0092380E" w:rsidRPr="00F4189E" w:rsidRDefault="0092380E" w:rsidP="009238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189E">
        <w:rPr>
          <w:rFonts w:ascii="Times New Roman" w:hAnsi="Times New Roman"/>
          <w:sz w:val="24"/>
          <w:szCs w:val="24"/>
          <w:lang w:val="uk-UA"/>
        </w:rPr>
        <w:tab/>
        <w:t>для профілактики вітряної віспи – 1;</w:t>
      </w:r>
    </w:p>
    <w:p w14:paraId="6D1EAF3F" w14:textId="77777777" w:rsidR="0092380E" w:rsidRPr="00F4189E" w:rsidRDefault="0092380E" w:rsidP="009238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189E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F4189E">
        <w:rPr>
          <w:rFonts w:ascii="Times New Roman" w:hAnsi="Times New Roman"/>
          <w:sz w:val="24"/>
          <w:szCs w:val="24"/>
          <w:lang w:val="uk-UA"/>
        </w:rPr>
        <w:t>тубдіагностика</w:t>
      </w:r>
      <w:proofErr w:type="spellEnd"/>
      <w:r w:rsidRPr="00F4189E">
        <w:rPr>
          <w:rFonts w:ascii="Times New Roman" w:hAnsi="Times New Roman"/>
          <w:sz w:val="24"/>
          <w:szCs w:val="24"/>
          <w:lang w:val="uk-UA"/>
        </w:rPr>
        <w:t xml:space="preserve"> – 192;</w:t>
      </w:r>
    </w:p>
    <w:p w14:paraId="4D3604FD" w14:textId="77777777" w:rsidR="0092380E" w:rsidRPr="00F4189E" w:rsidRDefault="0092380E" w:rsidP="009238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189E">
        <w:rPr>
          <w:rFonts w:ascii="Times New Roman" w:hAnsi="Times New Roman"/>
          <w:sz w:val="24"/>
          <w:szCs w:val="24"/>
          <w:lang w:val="uk-UA"/>
        </w:rPr>
        <w:tab/>
        <w:t xml:space="preserve">для профілактики </w:t>
      </w:r>
      <w:proofErr w:type="spellStart"/>
      <w:r w:rsidRPr="00F4189E">
        <w:rPr>
          <w:rFonts w:ascii="Times New Roman" w:hAnsi="Times New Roman"/>
          <w:sz w:val="24"/>
          <w:szCs w:val="24"/>
          <w:lang w:val="uk-UA"/>
        </w:rPr>
        <w:t>папіломавірусу</w:t>
      </w:r>
      <w:proofErr w:type="spellEnd"/>
      <w:r w:rsidRPr="00F4189E">
        <w:rPr>
          <w:rFonts w:ascii="Times New Roman" w:hAnsi="Times New Roman"/>
          <w:sz w:val="24"/>
          <w:szCs w:val="24"/>
          <w:lang w:val="uk-UA"/>
        </w:rPr>
        <w:t xml:space="preserve"> людини – 5.</w:t>
      </w:r>
    </w:p>
    <w:p w14:paraId="583099C6" w14:textId="77777777" w:rsidR="00DC421C" w:rsidRPr="00F4189E" w:rsidRDefault="00DC421C" w:rsidP="00E46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B883166" w14:textId="77777777" w:rsidR="00E97EEC" w:rsidRPr="00F4189E" w:rsidRDefault="00B90FFF" w:rsidP="008F31E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4189E">
        <w:rPr>
          <w:rFonts w:ascii="Times New Roman" w:hAnsi="Times New Roman"/>
          <w:b/>
          <w:bCs/>
          <w:sz w:val="24"/>
          <w:szCs w:val="24"/>
          <w:lang w:val="uk-UA"/>
        </w:rPr>
        <w:t>Надання медичної допомоги «чорнобильцям»</w:t>
      </w:r>
    </w:p>
    <w:p w14:paraId="7C99F951" w14:textId="77777777" w:rsidR="008F31E4" w:rsidRPr="00F4189E" w:rsidRDefault="008F31E4" w:rsidP="008F3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189E">
        <w:rPr>
          <w:rFonts w:ascii="Times New Roman" w:hAnsi="Times New Roman"/>
          <w:sz w:val="24"/>
          <w:szCs w:val="24"/>
          <w:lang w:val="uk-UA"/>
        </w:rPr>
        <w:t xml:space="preserve">Згідно облікової медичної документації під динамічним спостереженням в закладі станом на 01.01.2026 року перебувало 368 осіб, які постраждали внаслідок аварії на ЧАЕС. За групами первинного обліку нараховується: особи, які брали участь у ліквідації наслідків аварії на ЧАЕС (1-а група первинного обліку)  – 328; особи, які евакуйовані із зони дії радіації або самостійно залишили зону радіоактивного забруднення у період евакуації з 26.04.1986 року (2-а група первинного обліку) – 16; особи, які проживають або проживали на територіях, що підлягають нагляду (3-я група первинного обліку) – 7; особи, які народилися від осіб 1-3 груп первинного обліку незалежно від того, де в даний час проживають батьки (4-а група первинного обліку) – 17, у тому числі діти віком 0-14 років -6, 15-17 років – 9. </w:t>
      </w:r>
    </w:p>
    <w:p w14:paraId="39FEA657" w14:textId="30E56EE4" w:rsidR="008F31E4" w:rsidRPr="00F4189E" w:rsidRDefault="008F31E4" w:rsidP="008F3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189E">
        <w:rPr>
          <w:rFonts w:ascii="Times New Roman" w:hAnsi="Times New Roman"/>
          <w:sz w:val="24"/>
          <w:szCs w:val="24"/>
          <w:lang w:val="uk-UA"/>
        </w:rPr>
        <w:t>Впродовж</w:t>
      </w:r>
      <w:r w:rsidR="00F4189E" w:rsidRPr="00F4189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4189E">
        <w:rPr>
          <w:rFonts w:ascii="Times New Roman" w:hAnsi="Times New Roman"/>
          <w:sz w:val="24"/>
          <w:szCs w:val="24"/>
          <w:lang w:val="uk-UA"/>
        </w:rPr>
        <w:t xml:space="preserve">І кварталу 2026  року динамічним спостереженням охоплено 201 особа (54,6%), у </w:t>
      </w:r>
      <w:proofErr w:type="spellStart"/>
      <w:r w:rsidRPr="00F4189E">
        <w:rPr>
          <w:rFonts w:ascii="Times New Roman" w:hAnsi="Times New Roman"/>
          <w:sz w:val="24"/>
          <w:szCs w:val="24"/>
          <w:lang w:val="uk-UA"/>
        </w:rPr>
        <w:t>т.ч</w:t>
      </w:r>
      <w:proofErr w:type="spellEnd"/>
      <w:r w:rsidRPr="00F4189E">
        <w:rPr>
          <w:rFonts w:ascii="Times New Roman" w:hAnsi="Times New Roman"/>
          <w:sz w:val="24"/>
          <w:szCs w:val="24"/>
          <w:lang w:val="uk-UA"/>
        </w:rPr>
        <w:t xml:space="preserve">. 184 ліквідаторів (56,1%), 7 евакуйованих (43,7%), 1 переселенець (14,3%) і 9 осіб, які народились від 1-3 груп первинного обліку (52,9%). </w:t>
      </w:r>
    </w:p>
    <w:p w14:paraId="794032A4" w14:textId="77777777" w:rsidR="008F31E4" w:rsidRPr="00F4189E" w:rsidRDefault="008F31E4" w:rsidP="008F3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189E">
        <w:rPr>
          <w:rFonts w:ascii="Times New Roman" w:hAnsi="Times New Roman"/>
          <w:sz w:val="24"/>
          <w:szCs w:val="24"/>
          <w:lang w:val="uk-UA"/>
        </w:rPr>
        <w:t xml:space="preserve">З числа оглянутих підлягало лікуванню 197 осіб або 98,0%, які 100% проліковані. </w:t>
      </w:r>
    </w:p>
    <w:p w14:paraId="2EE3B205" w14:textId="77777777" w:rsidR="008F31E4" w:rsidRPr="00F4189E" w:rsidRDefault="008F31E4" w:rsidP="008F3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189E">
        <w:rPr>
          <w:rFonts w:ascii="Times New Roman" w:hAnsi="Times New Roman"/>
          <w:sz w:val="24"/>
          <w:szCs w:val="24"/>
          <w:lang w:val="uk-UA"/>
        </w:rPr>
        <w:t xml:space="preserve">Показник поширеності захворювань (у розрахунку на 100 тисяч дорослого населення) зареєстрований у дорослих контингентів постраждалого населення в І кварталі 2026 року збільшився на 61,1% тобто з 783,8 у І кварталі 2025  року, до 1262,5 у І кварталі 2026 року. </w:t>
      </w:r>
    </w:p>
    <w:p w14:paraId="703127C8" w14:textId="77777777" w:rsidR="008F31E4" w:rsidRPr="00F4189E" w:rsidRDefault="008F31E4" w:rsidP="008F3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189E">
        <w:rPr>
          <w:rFonts w:ascii="Times New Roman" w:hAnsi="Times New Roman"/>
          <w:sz w:val="24"/>
          <w:szCs w:val="24"/>
          <w:lang w:val="uk-UA"/>
        </w:rPr>
        <w:t>Показник захворюваності з діагнозом встановленим вперше в житті серед дорослого постраждалого населення (у розрахунку на 100 тисяч дорослого населення) зменшився у порівнянні з І кварталом 2025 року на 51,0%  і склав 21,3 проти 43,5 в І кварталі 2025 року.</w:t>
      </w:r>
    </w:p>
    <w:p w14:paraId="28D005D0" w14:textId="77777777" w:rsidR="008F31E4" w:rsidRPr="00F4189E" w:rsidRDefault="008F31E4" w:rsidP="008F3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189E">
        <w:rPr>
          <w:rFonts w:ascii="Times New Roman" w:hAnsi="Times New Roman"/>
          <w:sz w:val="24"/>
          <w:szCs w:val="24"/>
          <w:lang w:val="uk-UA"/>
        </w:rPr>
        <w:t xml:space="preserve">В структурі загальної захворюваності у дорослих перше місце займають хвороби системи кровообігу – 383 (46,1%), 3 виявлено вперше; із загального класу в тому числі: 170 випадів гіпертонічної хвороби (44,4%), ішемічної хвороби серця – 167 (43,6%); </w:t>
      </w:r>
      <w:proofErr w:type="spellStart"/>
      <w:r w:rsidRPr="00F4189E">
        <w:rPr>
          <w:rFonts w:ascii="Times New Roman" w:hAnsi="Times New Roman"/>
          <w:sz w:val="24"/>
          <w:szCs w:val="24"/>
          <w:lang w:val="uk-UA"/>
        </w:rPr>
        <w:t>цереброваскулярні</w:t>
      </w:r>
      <w:proofErr w:type="spellEnd"/>
      <w:r w:rsidRPr="00F4189E">
        <w:rPr>
          <w:rFonts w:ascii="Times New Roman" w:hAnsi="Times New Roman"/>
          <w:sz w:val="24"/>
          <w:szCs w:val="24"/>
          <w:lang w:val="uk-UA"/>
        </w:rPr>
        <w:t xml:space="preserve"> хвороби –33 (8,6%) (І квартал 2025 року - 39 (44,8%), вперше 30, із </w:t>
      </w:r>
      <w:r w:rsidRPr="00F4189E">
        <w:rPr>
          <w:rFonts w:ascii="Times New Roman" w:hAnsi="Times New Roman"/>
          <w:sz w:val="24"/>
          <w:szCs w:val="24"/>
          <w:lang w:val="uk-UA"/>
        </w:rPr>
        <w:lastRenderedPageBreak/>
        <w:t xml:space="preserve">загального класу в тому числі: 110 випадів гіпертонічної хвороби (44,5%), ішемічної хвороби серця – 112 (46,3%); </w:t>
      </w:r>
      <w:proofErr w:type="spellStart"/>
      <w:r w:rsidRPr="00F4189E">
        <w:rPr>
          <w:rFonts w:ascii="Times New Roman" w:hAnsi="Times New Roman"/>
          <w:sz w:val="24"/>
          <w:szCs w:val="24"/>
          <w:lang w:val="uk-UA"/>
        </w:rPr>
        <w:t>цереброваскулярні</w:t>
      </w:r>
      <w:proofErr w:type="spellEnd"/>
      <w:r w:rsidRPr="00F4189E">
        <w:rPr>
          <w:rFonts w:ascii="Times New Roman" w:hAnsi="Times New Roman"/>
          <w:sz w:val="24"/>
          <w:szCs w:val="24"/>
          <w:lang w:val="uk-UA"/>
        </w:rPr>
        <w:t xml:space="preserve"> хвороби –15 (6,2%);</w:t>
      </w:r>
    </w:p>
    <w:p w14:paraId="4F7BD49A" w14:textId="77777777" w:rsidR="008F31E4" w:rsidRPr="00F4189E" w:rsidRDefault="008F31E4" w:rsidP="008F3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189E">
        <w:rPr>
          <w:rFonts w:ascii="Times New Roman" w:hAnsi="Times New Roman"/>
          <w:sz w:val="24"/>
          <w:szCs w:val="24"/>
          <w:lang w:val="uk-UA"/>
        </w:rPr>
        <w:t>на другому місці – хвороби органів травлення –177 (21,3%), у тому числі 114 випадків хвороби печінки, жовчного міхура, жовчовивідних шляхів та підшлункової залози (64,4%), гастрит, дуоденіт – 39 випадків (22,0%), хвороби підшлункової залози – 34 (19,2%), виразка шлунку та 12-ти палої кишки – 18 (10,2%)  (І квартал 2025 року – 118 (21,9%), у тому числі 77 випадків хвороби печінки, жовчного міхура, жовчовивідних шляхів та підшлункової залози (65,3%), гастрит, дуоденіт – 25 випадків (21,2%), хвороби підшлункової залози – 31 (26,3%), виразка шлунку та 12-ти палої кишки – 10 (8,5%);</w:t>
      </w:r>
    </w:p>
    <w:p w14:paraId="5C980231" w14:textId="77777777" w:rsidR="008F31E4" w:rsidRPr="00F4189E" w:rsidRDefault="008F31E4" w:rsidP="008F3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189E">
        <w:rPr>
          <w:rFonts w:ascii="Times New Roman" w:hAnsi="Times New Roman"/>
          <w:sz w:val="24"/>
          <w:szCs w:val="24"/>
          <w:lang w:val="uk-UA"/>
        </w:rPr>
        <w:t>третє місце займають хвороби ендокринної системи, розладу харчування, порушення обміну речовин – 84 випадки (10,1%) (І квартал 2025 року - 62 випадки (11,5%);</w:t>
      </w:r>
    </w:p>
    <w:p w14:paraId="4E99015E" w14:textId="77777777" w:rsidR="008F31E4" w:rsidRPr="00F4189E" w:rsidRDefault="008F31E4" w:rsidP="008F3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189E">
        <w:rPr>
          <w:rFonts w:ascii="Times New Roman" w:hAnsi="Times New Roman"/>
          <w:sz w:val="24"/>
          <w:szCs w:val="24"/>
          <w:lang w:val="uk-UA"/>
        </w:rPr>
        <w:t>четверте місце посіли хвороби кістково-м’язової системи та сполучної тканини – 78 випадки (9,4%) (І квартал 2025 рік - 47 випади (8,7%);</w:t>
      </w:r>
    </w:p>
    <w:p w14:paraId="5ED65EBE" w14:textId="77777777" w:rsidR="008F31E4" w:rsidRPr="00F4189E" w:rsidRDefault="008F31E4" w:rsidP="008F3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189E">
        <w:rPr>
          <w:rFonts w:ascii="Times New Roman" w:hAnsi="Times New Roman"/>
          <w:sz w:val="24"/>
          <w:szCs w:val="24"/>
          <w:lang w:val="uk-UA"/>
        </w:rPr>
        <w:t xml:space="preserve"> п’яте місце займають хвороби органів дихання – 53 випадки (6,4%) (І квартал 2025 року - 39 випадів (7,2%);</w:t>
      </w:r>
    </w:p>
    <w:p w14:paraId="60FD98EE" w14:textId="77777777" w:rsidR="008F31E4" w:rsidRPr="00F4189E" w:rsidRDefault="008F31E4" w:rsidP="008F3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189E">
        <w:rPr>
          <w:rFonts w:ascii="Times New Roman" w:hAnsi="Times New Roman"/>
          <w:sz w:val="24"/>
          <w:szCs w:val="24"/>
          <w:lang w:val="uk-UA"/>
        </w:rPr>
        <w:t>шосте місце зайняв клас новоутворень – 31 випадок (3,7%) (І квартал 2025 рік – 43 (4,3%).</w:t>
      </w:r>
    </w:p>
    <w:p w14:paraId="7BE0D09A" w14:textId="77777777" w:rsidR="008F31E4" w:rsidRPr="00F4189E" w:rsidRDefault="008F31E4" w:rsidP="008F3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189E">
        <w:rPr>
          <w:rFonts w:ascii="Times New Roman" w:hAnsi="Times New Roman"/>
          <w:sz w:val="24"/>
          <w:szCs w:val="24"/>
          <w:lang w:val="uk-UA"/>
        </w:rPr>
        <w:t xml:space="preserve">Впродовж І кварталу 2026 року померла 2 особи постраждалі внаслідок аварії на ЧАЕС, по 1-й особі першої та другої групи первинного обліку (І квартал 2025 року померло 7 осіб, всі особи 1-ї  групи первинного обліку). </w:t>
      </w:r>
    </w:p>
    <w:p w14:paraId="7AAFA498" w14:textId="77777777" w:rsidR="008F31E4" w:rsidRPr="00F4189E" w:rsidRDefault="008F31E4" w:rsidP="008F3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189E">
        <w:rPr>
          <w:rFonts w:ascii="Times New Roman" w:hAnsi="Times New Roman"/>
          <w:sz w:val="24"/>
          <w:szCs w:val="24"/>
          <w:lang w:val="uk-UA"/>
        </w:rPr>
        <w:t xml:space="preserve"> За причинами смерті: 1 особа від </w:t>
      </w:r>
      <w:proofErr w:type="spellStart"/>
      <w:r w:rsidRPr="00F4189E">
        <w:rPr>
          <w:rFonts w:ascii="Times New Roman" w:hAnsi="Times New Roman"/>
          <w:sz w:val="24"/>
          <w:szCs w:val="24"/>
          <w:lang w:val="uk-UA"/>
        </w:rPr>
        <w:t>хвороб</w:t>
      </w:r>
      <w:proofErr w:type="spellEnd"/>
      <w:r w:rsidRPr="00F4189E">
        <w:rPr>
          <w:rFonts w:ascii="Times New Roman" w:hAnsi="Times New Roman"/>
          <w:sz w:val="24"/>
          <w:szCs w:val="24"/>
          <w:lang w:val="uk-UA"/>
        </w:rPr>
        <w:t xml:space="preserve"> системи кровообігу (50,0%), 1 від злоякісних новоутворень (50,0%) (І квартал 2025 року - 4 особи від </w:t>
      </w:r>
      <w:proofErr w:type="spellStart"/>
      <w:r w:rsidRPr="00F4189E">
        <w:rPr>
          <w:rFonts w:ascii="Times New Roman" w:hAnsi="Times New Roman"/>
          <w:sz w:val="24"/>
          <w:szCs w:val="24"/>
          <w:lang w:val="uk-UA"/>
        </w:rPr>
        <w:t>хвороб</w:t>
      </w:r>
      <w:proofErr w:type="spellEnd"/>
      <w:r w:rsidRPr="00F4189E">
        <w:rPr>
          <w:rFonts w:ascii="Times New Roman" w:hAnsi="Times New Roman"/>
          <w:sz w:val="24"/>
          <w:szCs w:val="24"/>
          <w:lang w:val="uk-UA"/>
        </w:rPr>
        <w:t xml:space="preserve"> системи кровообігу (57,1%), 3 особи від злоякісних новоутворень (42,9%).</w:t>
      </w:r>
    </w:p>
    <w:p w14:paraId="3F4A56C7" w14:textId="77777777" w:rsidR="008F31E4" w:rsidRPr="00F4189E" w:rsidRDefault="008F31E4" w:rsidP="008F3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189E">
        <w:rPr>
          <w:rFonts w:ascii="Times New Roman" w:hAnsi="Times New Roman"/>
          <w:sz w:val="24"/>
          <w:szCs w:val="24"/>
          <w:lang w:val="uk-UA"/>
        </w:rPr>
        <w:t>Станом на 01.01.2026 року під динамічним спостереженням у закладі перебуває 15 дітей четвертої групи первинного обліку у віці до 18 років, що визнані постраждалими в результаті аварії на Чорнобильській АЕС. В І кварталі 2026 року оглянуто 60% дітей даної категорії, з них визнано здоровими 4 дитини, що складає 44,4% (І квартал 2025 року – перебувало на обліку 23 дитини, оглянуто 65,2%, з них визнано здоровими 4 дитини, що складає 26,7%).</w:t>
      </w:r>
    </w:p>
    <w:p w14:paraId="21EFD800" w14:textId="77777777" w:rsidR="008F31E4" w:rsidRPr="00F4189E" w:rsidRDefault="008F31E4" w:rsidP="008F3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189E">
        <w:rPr>
          <w:rFonts w:ascii="Times New Roman" w:hAnsi="Times New Roman"/>
          <w:sz w:val="24"/>
          <w:szCs w:val="24"/>
          <w:lang w:val="uk-UA"/>
        </w:rPr>
        <w:t>З числа оглянутих дітей підлягало лікуванню в І кварталі 2026 року 33,3%, які 100% проліковані (І квартал 2025 року – 47,8%). Амбулаторно проліковано – 100% дітей в І кварталі 2025 та 2026 років.</w:t>
      </w:r>
    </w:p>
    <w:p w14:paraId="093E4B53" w14:textId="77777777" w:rsidR="008F31E4" w:rsidRPr="00F4189E" w:rsidRDefault="008F31E4" w:rsidP="008F3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189E">
        <w:rPr>
          <w:rFonts w:ascii="Times New Roman" w:hAnsi="Times New Roman"/>
          <w:sz w:val="24"/>
          <w:szCs w:val="24"/>
          <w:lang w:val="uk-UA"/>
        </w:rPr>
        <w:t xml:space="preserve">Здоров’я дітей „чорнобильців” характеризують наступні показники: </w:t>
      </w:r>
    </w:p>
    <w:p w14:paraId="35DC6208" w14:textId="77777777" w:rsidR="008F31E4" w:rsidRPr="00F4189E" w:rsidRDefault="008F31E4" w:rsidP="008F3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189E">
        <w:rPr>
          <w:rFonts w:ascii="Times New Roman" w:hAnsi="Times New Roman"/>
          <w:sz w:val="24"/>
          <w:szCs w:val="24"/>
          <w:lang w:val="uk-UA"/>
        </w:rPr>
        <w:t xml:space="preserve">   Показник поширеності захворювань серед дитячого постраждалого населення (0-17 років у розрахунку на 1 тисячу відповідного населення) в І кварталі 2026 року склав – 0,35 (І квартал 2025 року – 0,44).</w:t>
      </w:r>
    </w:p>
    <w:p w14:paraId="62A98D31" w14:textId="77777777" w:rsidR="008F31E4" w:rsidRPr="00F4189E" w:rsidRDefault="008F31E4" w:rsidP="008F3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189E">
        <w:rPr>
          <w:rFonts w:ascii="Times New Roman" w:hAnsi="Times New Roman"/>
          <w:sz w:val="24"/>
          <w:szCs w:val="24"/>
          <w:lang w:val="uk-UA"/>
        </w:rPr>
        <w:t>Показник захворюваності серед постраждалого дитячого населення 0-17 років (у розрахунку на 1 тисячу відповідного населення) в І кварталі 2026 року склав – 0,14 (І квартал 2025 року – 0,31).</w:t>
      </w:r>
    </w:p>
    <w:p w14:paraId="1D9A8B29" w14:textId="77777777" w:rsidR="008F31E4" w:rsidRPr="00F4189E" w:rsidRDefault="008F31E4" w:rsidP="008F3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189E">
        <w:rPr>
          <w:rFonts w:ascii="Times New Roman" w:hAnsi="Times New Roman"/>
          <w:sz w:val="24"/>
          <w:szCs w:val="24"/>
          <w:lang w:val="uk-UA"/>
        </w:rPr>
        <w:t xml:space="preserve"> Первинної захворюваності серед дитячого населення 0-14 років в І кварталі 2026 року не зареєстровано.</w:t>
      </w:r>
    </w:p>
    <w:p w14:paraId="4CD96F1F" w14:textId="77777777" w:rsidR="008F31E4" w:rsidRPr="00F4189E" w:rsidRDefault="008F31E4" w:rsidP="008F31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189E">
        <w:rPr>
          <w:rFonts w:ascii="Times New Roman" w:hAnsi="Times New Roman"/>
          <w:sz w:val="24"/>
          <w:szCs w:val="24"/>
          <w:lang w:val="uk-UA"/>
        </w:rPr>
        <w:t xml:space="preserve">Серед дітей 15-17 років в І кварталі 2025-2026 років перше місце займає клас </w:t>
      </w:r>
      <w:proofErr w:type="spellStart"/>
      <w:r w:rsidRPr="00F4189E">
        <w:rPr>
          <w:rFonts w:ascii="Times New Roman" w:hAnsi="Times New Roman"/>
          <w:sz w:val="24"/>
          <w:szCs w:val="24"/>
          <w:lang w:val="uk-UA"/>
        </w:rPr>
        <w:t>хвороб</w:t>
      </w:r>
      <w:proofErr w:type="spellEnd"/>
      <w:r w:rsidRPr="00F4189E">
        <w:rPr>
          <w:rFonts w:ascii="Times New Roman" w:hAnsi="Times New Roman"/>
          <w:sz w:val="24"/>
          <w:szCs w:val="24"/>
          <w:lang w:val="uk-UA"/>
        </w:rPr>
        <w:t xml:space="preserve"> органів дихання 100%.</w:t>
      </w:r>
    </w:p>
    <w:p w14:paraId="1B53A069" w14:textId="08106700" w:rsidR="00E46FF4" w:rsidRDefault="00E46FF4" w:rsidP="003801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84C1495" w14:textId="19BE9111" w:rsidR="004637BD" w:rsidRDefault="004637BD" w:rsidP="003801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ECFF33F" w14:textId="77777777" w:rsidR="004637BD" w:rsidRPr="00E46FF4" w:rsidRDefault="004637BD" w:rsidP="003801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23D98C2" w14:textId="77777777" w:rsidR="0067031E" w:rsidRDefault="003801E8" w:rsidP="006703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Генеральний директор                                                                       Лариса СВИРИДЕНКО</w:t>
      </w:r>
    </w:p>
    <w:p w14:paraId="401A48A8" w14:textId="77777777" w:rsidR="00E46FF4" w:rsidRDefault="00E46FF4" w:rsidP="006703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5BF8682C" w14:textId="77777777" w:rsidR="00EF7AB9" w:rsidRDefault="00EF7AB9" w:rsidP="006703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63C14BA8" w14:textId="77777777" w:rsidR="00E46FF4" w:rsidRDefault="00E46FF4" w:rsidP="006703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980468C" w14:textId="77777777" w:rsidR="00E46FF4" w:rsidRDefault="00E46FF4" w:rsidP="006703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76D69DCC" w14:textId="0DE9535D" w:rsidR="007941C5" w:rsidRDefault="00E46FF4" w:rsidP="0067031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EF7AB9">
        <w:rPr>
          <w:rFonts w:ascii="Times New Roman" w:eastAsia="Calibri" w:hAnsi="Times New Roman" w:cs="Times New Roman"/>
          <w:sz w:val="20"/>
          <w:szCs w:val="20"/>
          <w:lang w:val="uk-UA"/>
        </w:rPr>
        <w:t>Лариса Антипова (066) 308 18 60</w:t>
      </w:r>
    </w:p>
    <w:sectPr w:rsidR="007941C5" w:rsidSect="00E5120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MS Gothic"/>
    <w:charset w:val="80"/>
    <w:family w:val="auto"/>
    <w:pitch w:val="default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3FDB"/>
    <w:multiLevelType w:val="hybridMultilevel"/>
    <w:tmpl w:val="F8AC813E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E131EF7"/>
    <w:multiLevelType w:val="hybridMultilevel"/>
    <w:tmpl w:val="B48AB23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869174D"/>
    <w:multiLevelType w:val="hybridMultilevel"/>
    <w:tmpl w:val="0052C856"/>
    <w:lvl w:ilvl="0" w:tplc="58F2C902"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83BAA"/>
    <w:multiLevelType w:val="hybridMultilevel"/>
    <w:tmpl w:val="D1400E8A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59C03FC"/>
    <w:multiLevelType w:val="hybridMultilevel"/>
    <w:tmpl w:val="E0DC1DB8"/>
    <w:lvl w:ilvl="0" w:tplc="7A4E65B2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8770AA6"/>
    <w:multiLevelType w:val="hybridMultilevel"/>
    <w:tmpl w:val="A72E05AC"/>
    <w:lvl w:ilvl="0" w:tplc="CB422D4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A98180A"/>
    <w:multiLevelType w:val="hybridMultilevel"/>
    <w:tmpl w:val="B9EAC5DE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F5D20AA"/>
    <w:multiLevelType w:val="hybridMultilevel"/>
    <w:tmpl w:val="6F301FA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8" w15:restartNumberingAfterBreak="0">
    <w:nsid w:val="41AA6571"/>
    <w:multiLevelType w:val="hybridMultilevel"/>
    <w:tmpl w:val="9C562562"/>
    <w:lvl w:ilvl="0" w:tplc="0419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F3278C5"/>
    <w:multiLevelType w:val="hybridMultilevel"/>
    <w:tmpl w:val="C3FC0DEC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31D4928"/>
    <w:multiLevelType w:val="multilevel"/>
    <w:tmpl w:val="DE0AE0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i/>
        <w:color w:val="auto"/>
      </w:rPr>
    </w:lvl>
    <w:lvl w:ilvl="1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  <w:b/>
        <w:i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i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i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i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i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i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i/>
        <w:color w:val="auto"/>
      </w:rPr>
    </w:lvl>
  </w:abstractNum>
  <w:abstractNum w:abstractNumId="11" w15:restartNumberingAfterBreak="0">
    <w:nsid w:val="60921251"/>
    <w:multiLevelType w:val="hybridMultilevel"/>
    <w:tmpl w:val="0B0E61B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6C2358F"/>
    <w:multiLevelType w:val="hybridMultilevel"/>
    <w:tmpl w:val="E3107A14"/>
    <w:lvl w:ilvl="0" w:tplc="9D30AE30"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033135"/>
    <w:multiLevelType w:val="hybridMultilevel"/>
    <w:tmpl w:val="3CA607B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D212D1A"/>
    <w:multiLevelType w:val="hybridMultilevel"/>
    <w:tmpl w:val="78C0FB18"/>
    <w:lvl w:ilvl="0" w:tplc="7076BBC4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4"/>
  </w:num>
  <w:num w:numId="5">
    <w:abstractNumId w:val="11"/>
  </w:num>
  <w:num w:numId="6">
    <w:abstractNumId w:val="7"/>
  </w:num>
  <w:num w:numId="7">
    <w:abstractNumId w:val="1"/>
  </w:num>
  <w:num w:numId="8">
    <w:abstractNumId w:val="4"/>
  </w:num>
  <w:num w:numId="9">
    <w:abstractNumId w:val="8"/>
  </w:num>
  <w:num w:numId="10">
    <w:abstractNumId w:val="13"/>
  </w:num>
  <w:num w:numId="11">
    <w:abstractNumId w:val="3"/>
  </w:num>
  <w:num w:numId="12">
    <w:abstractNumId w:val="10"/>
  </w:num>
  <w:num w:numId="13">
    <w:abstractNumId w:val="5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181"/>
    <w:rsid w:val="00000984"/>
    <w:rsid w:val="0000211C"/>
    <w:rsid w:val="00003F66"/>
    <w:rsid w:val="00014257"/>
    <w:rsid w:val="000174B0"/>
    <w:rsid w:val="00020F03"/>
    <w:rsid w:val="000227B0"/>
    <w:rsid w:val="00026C7E"/>
    <w:rsid w:val="00027786"/>
    <w:rsid w:val="000316D0"/>
    <w:rsid w:val="000420BF"/>
    <w:rsid w:val="000542FC"/>
    <w:rsid w:val="000936D2"/>
    <w:rsid w:val="000A5845"/>
    <w:rsid w:val="000A7A8D"/>
    <w:rsid w:val="000C196D"/>
    <w:rsid w:val="000C5A2C"/>
    <w:rsid w:val="000E4D60"/>
    <w:rsid w:val="000F4F8A"/>
    <w:rsid w:val="000F7D10"/>
    <w:rsid w:val="0010005C"/>
    <w:rsid w:val="001069DA"/>
    <w:rsid w:val="001070B2"/>
    <w:rsid w:val="00126326"/>
    <w:rsid w:val="00137389"/>
    <w:rsid w:val="00142513"/>
    <w:rsid w:val="0015359E"/>
    <w:rsid w:val="001550E4"/>
    <w:rsid w:val="00176CE2"/>
    <w:rsid w:val="001814AB"/>
    <w:rsid w:val="00191ADC"/>
    <w:rsid w:val="001A4CE8"/>
    <w:rsid w:val="001A50F6"/>
    <w:rsid w:val="001B07C9"/>
    <w:rsid w:val="001B24DA"/>
    <w:rsid w:val="001C0850"/>
    <w:rsid w:val="001C1580"/>
    <w:rsid w:val="001C41C3"/>
    <w:rsid w:val="001D1273"/>
    <w:rsid w:val="001D6B9D"/>
    <w:rsid w:val="001E7789"/>
    <w:rsid w:val="001F3A54"/>
    <w:rsid w:val="0020030E"/>
    <w:rsid w:val="002037B7"/>
    <w:rsid w:val="00206A2C"/>
    <w:rsid w:val="00207D8D"/>
    <w:rsid w:val="0021052F"/>
    <w:rsid w:val="002141B9"/>
    <w:rsid w:val="00215AD7"/>
    <w:rsid w:val="0022211E"/>
    <w:rsid w:val="002332F5"/>
    <w:rsid w:val="00246678"/>
    <w:rsid w:val="0024675E"/>
    <w:rsid w:val="002514A8"/>
    <w:rsid w:val="002574E5"/>
    <w:rsid w:val="0026168A"/>
    <w:rsid w:val="002717FB"/>
    <w:rsid w:val="00273499"/>
    <w:rsid w:val="00276DCF"/>
    <w:rsid w:val="00291610"/>
    <w:rsid w:val="00295A59"/>
    <w:rsid w:val="00297481"/>
    <w:rsid w:val="002A692F"/>
    <w:rsid w:val="002B496A"/>
    <w:rsid w:val="002D47B5"/>
    <w:rsid w:val="002D7456"/>
    <w:rsid w:val="0030110D"/>
    <w:rsid w:val="003079A3"/>
    <w:rsid w:val="003141F3"/>
    <w:rsid w:val="00323360"/>
    <w:rsid w:val="0033629E"/>
    <w:rsid w:val="003458C5"/>
    <w:rsid w:val="003520B5"/>
    <w:rsid w:val="00357738"/>
    <w:rsid w:val="0036023F"/>
    <w:rsid w:val="00370625"/>
    <w:rsid w:val="00374458"/>
    <w:rsid w:val="00375CF2"/>
    <w:rsid w:val="00377471"/>
    <w:rsid w:val="003801E8"/>
    <w:rsid w:val="00380A07"/>
    <w:rsid w:val="0038218D"/>
    <w:rsid w:val="003823ED"/>
    <w:rsid w:val="00382A51"/>
    <w:rsid w:val="003931B9"/>
    <w:rsid w:val="003942D0"/>
    <w:rsid w:val="00394ED7"/>
    <w:rsid w:val="003A38DB"/>
    <w:rsid w:val="003A40F4"/>
    <w:rsid w:val="003A7443"/>
    <w:rsid w:val="003B0EF1"/>
    <w:rsid w:val="003B2101"/>
    <w:rsid w:val="003B348B"/>
    <w:rsid w:val="003B7B4C"/>
    <w:rsid w:val="003C29A4"/>
    <w:rsid w:val="003C6E48"/>
    <w:rsid w:val="003D15A3"/>
    <w:rsid w:val="003E6496"/>
    <w:rsid w:val="003F62D1"/>
    <w:rsid w:val="0040091B"/>
    <w:rsid w:val="00406D68"/>
    <w:rsid w:val="00413FFC"/>
    <w:rsid w:val="00426F90"/>
    <w:rsid w:val="00430E6D"/>
    <w:rsid w:val="00433824"/>
    <w:rsid w:val="004637BD"/>
    <w:rsid w:val="00480D0B"/>
    <w:rsid w:val="00484A77"/>
    <w:rsid w:val="00485E41"/>
    <w:rsid w:val="00494154"/>
    <w:rsid w:val="004A137B"/>
    <w:rsid w:val="004B15A2"/>
    <w:rsid w:val="004B5B3B"/>
    <w:rsid w:val="004C250D"/>
    <w:rsid w:val="004C6F6A"/>
    <w:rsid w:val="004C72FD"/>
    <w:rsid w:val="004F0E14"/>
    <w:rsid w:val="005026E6"/>
    <w:rsid w:val="005076CC"/>
    <w:rsid w:val="00510761"/>
    <w:rsid w:val="00511D03"/>
    <w:rsid w:val="005140DA"/>
    <w:rsid w:val="005201E2"/>
    <w:rsid w:val="00523486"/>
    <w:rsid w:val="00533E08"/>
    <w:rsid w:val="0054217A"/>
    <w:rsid w:val="00545091"/>
    <w:rsid w:val="005822F3"/>
    <w:rsid w:val="00587AE0"/>
    <w:rsid w:val="005947FA"/>
    <w:rsid w:val="00595037"/>
    <w:rsid w:val="005970A4"/>
    <w:rsid w:val="005A0827"/>
    <w:rsid w:val="005A189E"/>
    <w:rsid w:val="005B0B65"/>
    <w:rsid w:val="005B1661"/>
    <w:rsid w:val="005B64CD"/>
    <w:rsid w:val="005B7952"/>
    <w:rsid w:val="005C363F"/>
    <w:rsid w:val="005C5E59"/>
    <w:rsid w:val="005D15C5"/>
    <w:rsid w:val="005F66E9"/>
    <w:rsid w:val="00612965"/>
    <w:rsid w:val="00612C31"/>
    <w:rsid w:val="00613B79"/>
    <w:rsid w:val="006221B8"/>
    <w:rsid w:val="00633CA3"/>
    <w:rsid w:val="00644A8C"/>
    <w:rsid w:val="0065334F"/>
    <w:rsid w:val="00661A5B"/>
    <w:rsid w:val="006669BB"/>
    <w:rsid w:val="0066779B"/>
    <w:rsid w:val="0067031E"/>
    <w:rsid w:val="0067173B"/>
    <w:rsid w:val="006A1596"/>
    <w:rsid w:val="006A4374"/>
    <w:rsid w:val="006A7583"/>
    <w:rsid w:val="006A7645"/>
    <w:rsid w:val="006B60CF"/>
    <w:rsid w:val="006C13D0"/>
    <w:rsid w:val="006D070D"/>
    <w:rsid w:val="006D2333"/>
    <w:rsid w:val="006E297A"/>
    <w:rsid w:val="006F2644"/>
    <w:rsid w:val="006F5103"/>
    <w:rsid w:val="006F6B7A"/>
    <w:rsid w:val="006F7983"/>
    <w:rsid w:val="007021A9"/>
    <w:rsid w:val="007132C1"/>
    <w:rsid w:val="007253AE"/>
    <w:rsid w:val="007357CF"/>
    <w:rsid w:val="007412EC"/>
    <w:rsid w:val="0074365E"/>
    <w:rsid w:val="00781D7C"/>
    <w:rsid w:val="00790BDF"/>
    <w:rsid w:val="007941C5"/>
    <w:rsid w:val="007A12E3"/>
    <w:rsid w:val="007A7F36"/>
    <w:rsid w:val="007B1F87"/>
    <w:rsid w:val="007D2230"/>
    <w:rsid w:val="007D5721"/>
    <w:rsid w:val="007D66FE"/>
    <w:rsid w:val="007E0407"/>
    <w:rsid w:val="00804E3B"/>
    <w:rsid w:val="00812E02"/>
    <w:rsid w:val="00817BD3"/>
    <w:rsid w:val="00822145"/>
    <w:rsid w:val="00827353"/>
    <w:rsid w:val="00830DFC"/>
    <w:rsid w:val="00832109"/>
    <w:rsid w:val="008344F1"/>
    <w:rsid w:val="00842109"/>
    <w:rsid w:val="00844504"/>
    <w:rsid w:val="0085582D"/>
    <w:rsid w:val="0087003A"/>
    <w:rsid w:val="00874A3A"/>
    <w:rsid w:val="00894DBB"/>
    <w:rsid w:val="00894FAE"/>
    <w:rsid w:val="008A486B"/>
    <w:rsid w:val="008C5C50"/>
    <w:rsid w:val="008C7E20"/>
    <w:rsid w:val="008D309E"/>
    <w:rsid w:val="008D3864"/>
    <w:rsid w:val="008E2160"/>
    <w:rsid w:val="008E6C7F"/>
    <w:rsid w:val="008F31E4"/>
    <w:rsid w:val="008F5D38"/>
    <w:rsid w:val="008F64B6"/>
    <w:rsid w:val="0090129C"/>
    <w:rsid w:val="0090457D"/>
    <w:rsid w:val="00906061"/>
    <w:rsid w:val="00913B4B"/>
    <w:rsid w:val="00914A02"/>
    <w:rsid w:val="00920572"/>
    <w:rsid w:val="0092380E"/>
    <w:rsid w:val="009251B3"/>
    <w:rsid w:val="009277B2"/>
    <w:rsid w:val="0096128A"/>
    <w:rsid w:val="00985F85"/>
    <w:rsid w:val="009A438C"/>
    <w:rsid w:val="009B698A"/>
    <w:rsid w:val="009C0959"/>
    <w:rsid w:val="009C63BE"/>
    <w:rsid w:val="009D0534"/>
    <w:rsid w:val="009D763E"/>
    <w:rsid w:val="009E6E5B"/>
    <w:rsid w:val="00A0455B"/>
    <w:rsid w:val="00A1030B"/>
    <w:rsid w:val="00A134CC"/>
    <w:rsid w:val="00A244CC"/>
    <w:rsid w:val="00A31CA6"/>
    <w:rsid w:val="00A40267"/>
    <w:rsid w:val="00A47254"/>
    <w:rsid w:val="00A602AF"/>
    <w:rsid w:val="00A7102B"/>
    <w:rsid w:val="00A761E3"/>
    <w:rsid w:val="00A76E0D"/>
    <w:rsid w:val="00AA4C70"/>
    <w:rsid w:val="00AA7BF2"/>
    <w:rsid w:val="00AB23D2"/>
    <w:rsid w:val="00AB6429"/>
    <w:rsid w:val="00AB71B8"/>
    <w:rsid w:val="00AC7438"/>
    <w:rsid w:val="00B17FC8"/>
    <w:rsid w:val="00B2556B"/>
    <w:rsid w:val="00B34870"/>
    <w:rsid w:val="00B36225"/>
    <w:rsid w:val="00B519D4"/>
    <w:rsid w:val="00B54804"/>
    <w:rsid w:val="00B6239B"/>
    <w:rsid w:val="00B729C5"/>
    <w:rsid w:val="00B77AC7"/>
    <w:rsid w:val="00B807A4"/>
    <w:rsid w:val="00B85A47"/>
    <w:rsid w:val="00B90FFF"/>
    <w:rsid w:val="00B912B1"/>
    <w:rsid w:val="00B94199"/>
    <w:rsid w:val="00BA0A39"/>
    <w:rsid w:val="00BA496C"/>
    <w:rsid w:val="00BB000F"/>
    <w:rsid w:val="00BB4A2A"/>
    <w:rsid w:val="00BB7C5D"/>
    <w:rsid w:val="00BC29B3"/>
    <w:rsid w:val="00BC4F32"/>
    <w:rsid w:val="00BD6E3C"/>
    <w:rsid w:val="00BE5411"/>
    <w:rsid w:val="00BF79C1"/>
    <w:rsid w:val="00C20E6F"/>
    <w:rsid w:val="00C34B6A"/>
    <w:rsid w:val="00C34C2A"/>
    <w:rsid w:val="00C35421"/>
    <w:rsid w:val="00C474F8"/>
    <w:rsid w:val="00C47D8A"/>
    <w:rsid w:val="00C642DC"/>
    <w:rsid w:val="00C671E8"/>
    <w:rsid w:val="00C742E0"/>
    <w:rsid w:val="00C77C86"/>
    <w:rsid w:val="00C82F53"/>
    <w:rsid w:val="00C83328"/>
    <w:rsid w:val="00C93E30"/>
    <w:rsid w:val="00C95838"/>
    <w:rsid w:val="00CB0533"/>
    <w:rsid w:val="00CC1075"/>
    <w:rsid w:val="00CC6DDD"/>
    <w:rsid w:val="00CE289C"/>
    <w:rsid w:val="00CE7E6F"/>
    <w:rsid w:val="00CF10EE"/>
    <w:rsid w:val="00CF5C6B"/>
    <w:rsid w:val="00D1798B"/>
    <w:rsid w:val="00D24FC8"/>
    <w:rsid w:val="00D25181"/>
    <w:rsid w:val="00D25A15"/>
    <w:rsid w:val="00D47886"/>
    <w:rsid w:val="00D635A9"/>
    <w:rsid w:val="00D64193"/>
    <w:rsid w:val="00D71876"/>
    <w:rsid w:val="00D74DA7"/>
    <w:rsid w:val="00D75962"/>
    <w:rsid w:val="00D85419"/>
    <w:rsid w:val="00D91AA9"/>
    <w:rsid w:val="00D969F7"/>
    <w:rsid w:val="00DA2335"/>
    <w:rsid w:val="00DA656E"/>
    <w:rsid w:val="00DB102A"/>
    <w:rsid w:val="00DB4CA3"/>
    <w:rsid w:val="00DB572A"/>
    <w:rsid w:val="00DC048F"/>
    <w:rsid w:val="00DC08B1"/>
    <w:rsid w:val="00DC10C5"/>
    <w:rsid w:val="00DC17C1"/>
    <w:rsid w:val="00DC421C"/>
    <w:rsid w:val="00DC792C"/>
    <w:rsid w:val="00DD46CA"/>
    <w:rsid w:val="00E01AAC"/>
    <w:rsid w:val="00E03E14"/>
    <w:rsid w:val="00E0440B"/>
    <w:rsid w:val="00E05081"/>
    <w:rsid w:val="00E05F5A"/>
    <w:rsid w:val="00E07A74"/>
    <w:rsid w:val="00E267AC"/>
    <w:rsid w:val="00E26BCB"/>
    <w:rsid w:val="00E37DFC"/>
    <w:rsid w:val="00E43E8F"/>
    <w:rsid w:val="00E46FF4"/>
    <w:rsid w:val="00E51205"/>
    <w:rsid w:val="00E52E1F"/>
    <w:rsid w:val="00E54231"/>
    <w:rsid w:val="00E576D7"/>
    <w:rsid w:val="00E61E9E"/>
    <w:rsid w:val="00E72691"/>
    <w:rsid w:val="00E94AD3"/>
    <w:rsid w:val="00E95395"/>
    <w:rsid w:val="00E97EEC"/>
    <w:rsid w:val="00EA40E3"/>
    <w:rsid w:val="00EB4513"/>
    <w:rsid w:val="00EC6568"/>
    <w:rsid w:val="00EE11D1"/>
    <w:rsid w:val="00EF1DAE"/>
    <w:rsid w:val="00EF4FC9"/>
    <w:rsid w:val="00EF5527"/>
    <w:rsid w:val="00EF64E2"/>
    <w:rsid w:val="00EF726E"/>
    <w:rsid w:val="00EF7AB9"/>
    <w:rsid w:val="00F01525"/>
    <w:rsid w:val="00F060FA"/>
    <w:rsid w:val="00F13F61"/>
    <w:rsid w:val="00F2116A"/>
    <w:rsid w:val="00F25DDA"/>
    <w:rsid w:val="00F30BBA"/>
    <w:rsid w:val="00F31852"/>
    <w:rsid w:val="00F35BFA"/>
    <w:rsid w:val="00F4189E"/>
    <w:rsid w:val="00F46F4B"/>
    <w:rsid w:val="00F51143"/>
    <w:rsid w:val="00F52580"/>
    <w:rsid w:val="00F64601"/>
    <w:rsid w:val="00F7074F"/>
    <w:rsid w:val="00F7365F"/>
    <w:rsid w:val="00F77D20"/>
    <w:rsid w:val="00F82AFC"/>
    <w:rsid w:val="00FA1F59"/>
    <w:rsid w:val="00FB5A1D"/>
    <w:rsid w:val="00FC4A1D"/>
    <w:rsid w:val="00FD2099"/>
    <w:rsid w:val="00FD4A29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0A2C7"/>
  <w15:docId w15:val="{54823301-0E47-4D2A-BBF8-8C48F2BA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7C2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7941C5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FB5891"/>
    <w:pPr>
      <w:ind w:left="720"/>
      <w:contextualSpacing/>
    </w:p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customStyle="1" w:styleId="ac">
    <w:name w:val="Содержимое врезки"/>
    <w:basedOn w:val="a"/>
    <w:qFormat/>
  </w:style>
  <w:style w:type="paragraph" w:customStyle="1" w:styleId="docdata">
    <w:name w:val="docdata"/>
    <w:aliases w:val="docy,v5,7210,baiaagaaboqcaaad+rcaaauhgaaaaaaaaaaaaaaaaaaaaaaaaaaaaaaaaaaaaaaaaaaaaaaaaaaaaaaaaaaaaaaaaaaaaaaaaaaaaaaaaaaaaaaaaaaaaaaaaaaaaaaaaaaaaaaaaaaaaaaaaaaaaaaaaaaaaaaaaaaaaaaaaaaaaaaaaaaaaaaaaaaaaaaaaaaaaaaaaaaaaaaaaaaaaaaaaaaaaaaaaaaaaaaa"/>
    <w:basedOn w:val="a"/>
    <w:rsid w:val="009C095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9C095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52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52E1F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0316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qFormat/>
    <w:rsid w:val="0038218D"/>
    <w:pPr>
      <w:textAlignment w:val="baseline"/>
    </w:pPr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character" w:customStyle="1" w:styleId="2">
    <w:name w:val="Заголовок2"/>
    <w:basedOn w:val="a0"/>
    <w:rsid w:val="00E94AD3"/>
  </w:style>
  <w:style w:type="character" w:customStyle="1" w:styleId="30">
    <w:name w:val="Заголовок 3 Знак"/>
    <w:basedOn w:val="a0"/>
    <w:link w:val="3"/>
    <w:uiPriority w:val="9"/>
    <w:rsid w:val="007941C5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815">
          <w:marLeft w:val="0"/>
          <w:marRight w:val="0"/>
          <w:marTop w:val="0"/>
          <w:marBottom w:val="0"/>
          <w:divBdr>
            <w:top w:val="single" w:sz="6" w:space="12" w:color="EEEEEE"/>
            <w:left w:val="single" w:sz="6" w:space="12" w:color="EEEEEE"/>
            <w:bottom w:val="single" w:sz="6" w:space="12" w:color="EEEEEE"/>
            <w:right w:val="single" w:sz="6" w:space="12" w:color="EEEEEE"/>
          </w:divBdr>
          <w:divsChild>
            <w:div w:id="9599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0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5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44342">
          <w:marLeft w:val="0"/>
          <w:marRight w:val="0"/>
          <w:marTop w:val="0"/>
          <w:marBottom w:val="0"/>
          <w:divBdr>
            <w:top w:val="single" w:sz="6" w:space="12" w:color="EEEEEE"/>
            <w:left w:val="single" w:sz="6" w:space="12" w:color="EEEEEE"/>
            <w:bottom w:val="single" w:sz="6" w:space="12" w:color="EEEEEE"/>
            <w:right w:val="single" w:sz="6" w:space="12" w:color="EEEEEE"/>
          </w:divBdr>
          <w:divsChild>
            <w:div w:id="82597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415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7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334366">
          <w:marLeft w:val="0"/>
          <w:marRight w:val="0"/>
          <w:marTop w:val="0"/>
          <w:marBottom w:val="0"/>
          <w:divBdr>
            <w:top w:val="single" w:sz="6" w:space="12" w:color="EEEEEE"/>
            <w:left w:val="single" w:sz="6" w:space="12" w:color="EEEEEE"/>
            <w:bottom w:val="single" w:sz="6" w:space="12" w:color="EEEEEE"/>
            <w:right w:val="single" w:sz="6" w:space="12" w:color="EEEEEE"/>
          </w:divBdr>
          <w:divsChild>
            <w:div w:id="160742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12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18425">
          <w:marLeft w:val="0"/>
          <w:marRight w:val="0"/>
          <w:marTop w:val="0"/>
          <w:marBottom w:val="0"/>
          <w:divBdr>
            <w:top w:val="single" w:sz="6" w:space="12" w:color="EEEEEE"/>
            <w:left w:val="single" w:sz="6" w:space="12" w:color="EEEEEE"/>
            <w:bottom w:val="single" w:sz="6" w:space="12" w:color="EEEEEE"/>
            <w:right w:val="single" w:sz="6" w:space="12" w:color="EEEEEE"/>
          </w:divBdr>
          <w:divsChild>
            <w:div w:id="20519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41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4231">
          <w:marLeft w:val="0"/>
          <w:marRight w:val="0"/>
          <w:marTop w:val="0"/>
          <w:marBottom w:val="0"/>
          <w:divBdr>
            <w:top w:val="single" w:sz="6" w:space="12" w:color="EEEEEE"/>
            <w:left w:val="single" w:sz="6" w:space="12" w:color="EEEEEE"/>
            <w:bottom w:val="single" w:sz="6" w:space="12" w:color="EEEEEE"/>
            <w:right w:val="single" w:sz="6" w:space="12" w:color="EEEEEE"/>
          </w:divBdr>
          <w:divsChild>
            <w:div w:id="6256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19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89344">
          <w:marLeft w:val="0"/>
          <w:marRight w:val="0"/>
          <w:marTop w:val="0"/>
          <w:marBottom w:val="0"/>
          <w:divBdr>
            <w:top w:val="single" w:sz="6" w:space="12" w:color="EEEEEE"/>
            <w:left w:val="single" w:sz="6" w:space="12" w:color="EEEEEE"/>
            <w:bottom w:val="single" w:sz="6" w:space="12" w:color="EEEEEE"/>
            <w:right w:val="single" w:sz="6" w:space="12" w:color="EEEEEE"/>
          </w:divBdr>
          <w:divsChild>
            <w:div w:id="3344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52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91052">
          <w:marLeft w:val="0"/>
          <w:marRight w:val="0"/>
          <w:marTop w:val="0"/>
          <w:marBottom w:val="0"/>
          <w:divBdr>
            <w:top w:val="single" w:sz="6" w:space="12" w:color="EEEEEE"/>
            <w:left w:val="single" w:sz="6" w:space="12" w:color="EEEEEE"/>
            <w:bottom w:val="single" w:sz="6" w:space="12" w:color="EEEEEE"/>
            <w:right w:val="single" w:sz="6" w:space="12" w:color="EEEEEE"/>
          </w:divBdr>
          <w:divsChild>
            <w:div w:id="15525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5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77771">
          <w:marLeft w:val="0"/>
          <w:marRight w:val="0"/>
          <w:marTop w:val="0"/>
          <w:marBottom w:val="0"/>
          <w:divBdr>
            <w:top w:val="single" w:sz="6" w:space="12" w:color="EEEEEE"/>
            <w:left w:val="single" w:sz="6" w:space="12" w:color="EEEEEE"/>
            <w:bottom w:val="single" w:sz="6" w:space="12" w:color="EEEEEE"/>
            <w:right w:val="single" w:sz="6" w:space="12" w:color="EEEEEE"/>
          </w:divBdr>
          <w:divsChild>
            <w:div w:id="123327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66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1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652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160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BE8ED"/>
            <w:right w:val="none" w:sz="0" w:space="0" w:color="auto"/>
          </w:divBdr>
        </w:div>
        <w:div w:id="5520419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4D2FB-AEB0-4E71-BB94-713037C0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7</Pages>
  <Words>13789</Words>
  <Characters>7861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380956580267</dc:creator>
  <cp:lastModifiedBy>User</cp:lastModifiedBy>
  <cp:revision>18</cp:revision>
  <cp:lastPrinted>2025-01-23T08:43:00Z</cp:lastPrinted>
  <dcterms:created xsi:type="dcterms:W3CDTF">2026-04-08T08:38:00Z</dcterms:created>
  <dcterms:modified xsi:type="dcterms:W3CDTF">2026-04-24T11:00:00Z</dcterms:modified>
  <dc:language>ru-RU</dc:language>
</cp:coreProperties>
</file>